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fldChar w:fldCharType="begin"/>
        <w:instrText xml:space="preserve"> DOCPROPERTY "DocDateEng"</w:instrText>
        <w:fldChar w:fldCharType="separate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1"/>
        </w:rPr>
        <w:t xml:space="preserve">28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1"/>
        </w:rPr>
        <w:t xml:space="preserve">בדצמבר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1"/>
        </w:rPr>
        <w:t xml:space="preserve"> 2025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fldChar w:fldCharType="begin"/>
        <w:instrText xml:space="preserve"> DOCPROPERTY "DocDateHeb"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1"/>
        </w:rPr>
        <w:t xml:space="preserve">'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1"/>
        </w:rPr>
        <w:t xml:space="preserve">בטבת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1"/>
        </w:rPr>
        <w:t xml:space="preserve">תשפ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1"/>
        </w:rPr>
        <w:t xml:space="preserve">ו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fldChar w:fldCharType="begin"/>
        <w:instrText xml:space="preserve"> DOCPROPERTY "DocNumber"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4700-1039-2025-007576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120" w:line="360" w:lineRule="auto"/>
        <w:jc w:val="center"/>
        <w:rPr>
          <w:rFonts w:ascii="FrankRuehl" w:cs="FrankRuehl" w:eastAsia="FrankRuehl" w:hAnsi="FrankRuehl"/>
          <w:b w:val="1"/>
          <w:bCs w:val="1"/>
          <w:color w:val="323e4f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120" w:line="360" w:lineRule="auto"/>
        <w:jc w:val="center"/>
        <w:rPr>
          <w:rFonts w:ascii="FrankRuehl" w:cs="FrankRuehl" w:eastAsia="FrankRuehl" w:hAnsi="FrankRuehl"/>
          <w:b w:val="1"/>
          <w:bCs w:val="1"/>
          <w:color w:val="002060"/>
          <w:sz w:val="36"/>
          <w:szCs w:val="36"/>
          <w:u w:val="single"/>
        </w:rPr>
      </w:pP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6"/>
          <w:szCs w:val="36"/>
          <w:u w:val="single"/>
          <w:rtl w:val="1"/>
        </w:rPr>
        <w:t xml:space="preserve">תקציר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6"/>
          <w:szCs w:val="36"/>
          <w:u w:val="single"/>
          <w:rtl w:val="1"/>
        </w:rPr>
        <w:t xml:space="preserve">פסק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6"/>
          <w:szCs w:val="36"/>
          <w:u w:val="single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6"/>
          <w:szCs w:val="36"/>
          <w:u w:val="single"/>
          <w:rtl w:val="1"/>
        </w:rPr>
        <w:t xml:space="preserve">דין</w:t>
      </w:r>
    </w:p>
    <w:p w:rsidR="00000000" w:rsidDel="00000000" w:rsidP="00000000" w:rsidRDefault="00000000" w:rsidRPr="00000000" w14:paraId="00000007">
      <w:pPr>
        <w:bidi w:val="1"/>
        <w:spacing w:after="120" w:lineRule="auto"/>
        <w:jc w:val="center"/>
        <w:rPr>
          <w:sz w:val="32"/>
          <w:szCs w:val="32"/>
          <w:u w:val="single"/>
        </w:rPr>
      </w:pPr>
      <w:bookmarkStart w:colFirst="0" w:colLast="0" w:name="_b3qzxpi1uhxj" w:id="0"/>
      <w:bookmarkEnd w:id="0"/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u w:val="single"/>
          <w:rtl w:val="1"/>
        </w:rPr>
        <w:t xml:space="preserve">בג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u w:val="singl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u w:val="single"/>
          <w:rtl w:val="1"/>
        </w:rPr>
        <w:t xml:space="preserve">ץ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u w:val="single"/>
          <w:rtl w:val="1"/>
        </w:rPr>
        <w:t xml:space="preserve"> 427-10-25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u w:val="single"/>
          <w:rtl w:val="1"/>
        </w:rPr>
        <w:t xml:space="preserve">ועתירות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u w:val="single"/>
          <w:rtl w:val="1"/>
        </w:rPr>
        <w:t xml:space="preserve">נוספות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u w:val="single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2060"/>
          <w:sz w:val="32"/>
          <w:szCs w:val="32"/>
          <w:u w:val="single"/>
          <w:rtl w:val="1"/>
        </w:rPr>
        <w:t xml:space="preserve">התנועה</w:t>
      </w:r>
      <w:r w:rsidDel="00000000" w:rsidR="00000000" w:rsidRPr="00000000">
        <w:rPr>
          <w:rFonts w:ascii="FrankRuehl" w:cs="FrankRuehl" w:eastAsia="FrankRuehl" w:hAnsi="FrankRuehl"/>
          <w:color w:val="00206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32"/>
          <w:szCs w:val="32"/>
          <w:u w:val="single"/>
          <w:rtl w:val="1"/>
        </w:rPr>
        <w:t xml:space="preserve">למען</w:t>
      </w:r>
      <w:r w:rsidDel="00000000" w:rsidR="00000000" w:rsidRPr="00000000">
        <w:rPr>
          <w:rFonts w:ascii="FrankRuehl" w:cs="FrankRuehl" w:eastAsia="FrankRuehl" w:hAnsi="FrankRuehl"/>
          <w:color w:val="00206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32"/>
          <w:szCs w:val="32"/>
          <w:u w:val="single"/>
          <w:rtl w:val="1"/>
        </w:rPr>
        <w:t xml:space="preserve">איכות</w:t>
      </w:r>
      <w:r w:rsidDel="00000000" w:rsidR="00000000" w:rsidRPr="00000000">
        <w:rPr>
          <w:rFonts w:ascii="FrankRuehl" w:cs="FrankRuehl" w:eastAsia="FrankRuehl" w:hAnsi="FrankRuehl"/>
          <w:color w:val="00206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32"/>
          <w:szCs w:val="32"/>
          <w:u w:val="single"/>
          <w:rtl w:val="1"/>
        </w:rPr>
        <w:t xml:space="preserve">השלטון</w:t>
      </w:r>
      <w:r w:rsidDel="00000000" w:rsidR="00000000" w:rsidRPr="00000000">
        <w:rPr>
          <w:rFonts w:ascii="FrankRuehl" w:cs="FrankRuehl" w:eastAsia="FrankRuehl" w:hAnsi="FrankRuehl"/>
          <w:color w:val="00206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32"/>
          <w:szCs w:val="32"/>
          <w:u w:val="single"/>
          <w:rtl w:val="1"/>
        </w:rPr>
        <w:t xml:space="preserve">בישראל</w:t>
      </w:r>
      <w:r w:rsidDel="00000000" w:rsidR="00000000" w:rsidRPr="00000000">
        <w:rPr>
          <w:rFonts w:ascii="FrankRuehl" w:cs="FrankRuehl" w:eastAsia="FrankRuehl" w:hAnsi="FrankRuehl"/>
          <w:color w:val="00206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32"/>
          <w:szCs w:val="32"/>
          <w:u w:val="single"/>
          <w:rtl w:val="1"/>
        </w:rPr>
        <w:t xml:space="preserve">נ</w:t>
      </w:r>
      <w:r w:rsidDel="00000000" w:rsidR="00000000" w:rsidRPr="00000000">
        <w:rPr>
          <w:rFonts w:ascii="FrankRuehl" w:cs="FrankRuehl" w:eastAsia="FrankRuehl" w:hAnsi="FrankRuehl"/>
          <w:color w:val="002060"/>
          <w:sz w:val="32"/>
          <w:szCs w:val="32"/>
          <w:u w:val="single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2060"/>
          <w:sz w:val="32"/>
          <w:szCs w:val="32"/>
          <w:u w:val="single"/>
          <w:rtl w:val="1"/>
        </w:rPr>
        <w:t xml:space="preserve">ממשלת</w:t>
      </w:r>
      <w:r w:rsidDel="00000000" w:rsidR="00000000" w:rsidRPr="00000000">
        <w:rPr>
          <w:rFonts w:ascii="FrankRuehl" w:cs="FrankRuehl" w:eastAsia="FrankRuehl" w:hAnsi="FrankRuehl"/>
          <w:color w:val="00206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32"/>
          <w:szCs w:val="32"/>
          <w:u w:val="single"/>
          <w:rtl w:val="1"/>
        </w:rPr>
        <w:t xml:space="preserve">ישראל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120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120" w:lineRule="auto"/>
        <w:jc w:val="center"/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</w:rPr>
      </w:pP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u w:val="single"/>
          <w:rtl w:val="1"/>
        </w:rPr>
        <w:t xml:space="preserve">הרכב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u w:val="single"/>
          <w:rtl w:val="1"/>
        </w:rPr>
        <w:t xml:space="preserve">שופטים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הנשיא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יצחק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עמית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המשנה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לנשיא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נעם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סולברג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השופט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דוד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32"/>
          <w:szCs w:val="32"/>
          <w:rtl w:val="1"/>
        </w:rPr>
        <w:t xml:space="preserve">מינץ</w:t>
      </w:r>
    </w:p>
    <w:p w:rsidR="00000000" w:rsidDel="00000000" w:rsidP="00000000" w:rsidRDefault="00000000" w:rsidRPr="00000000" w14:paraId="0000000A">
      <w:pPr>
        <w:bidi w:val="1"/>
        <w:spacing w:after="120" w:line="360" w:lineRule="auto"/>
        <w:jc w:val="both"/>
        <w:rPr>
          <w:rFonts w:ascii="FrankRuehl" w:cs="FrankRuehl" w:eastAsia="FrankRuehl" w:hAnsi="FrankRuehl"/>
          <w:color w:val="323e4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מפי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סולברג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בהסכמת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מינץ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דעתו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החולקת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עמית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דחה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עתירות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מינויו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האלוף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במיל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')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זיני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לראשות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הביטחון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הכללי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30.9.2025,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החליטה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ממשלת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מינויו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האלוף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במיל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')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זיני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לראשות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הביטחון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הכללי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הצעת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ולאחר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שהמינוי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נבחן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המייעצת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למינויים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בראשות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בדימ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')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גרוניס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נמצא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פגם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בהיבטי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טוהר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המידות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5.10.2025,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שנדחו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בקשות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למתן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צו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ביניים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המינוי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החל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האלוף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במיל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')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זיני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לכהן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בתפקיד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720"/>
        <w:jc w:val="both"/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סולברג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קבע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תחילה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רבות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הטענות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שהועלו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העתירות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לטוהר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מידותיו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כגורם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הממנה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שכלל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להעלות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בשים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להסכמה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שאליה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הגיעו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והעומד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בראשה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קודם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שבגדרו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נדונה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מינויו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השב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קשר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למינוי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ספציפי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18133-06-25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גואילי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ליועצת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ציבורי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מינהלי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גואילי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)).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ההסכמה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האמורה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קיבלה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תוקף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שיפוטית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וצוין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במפורש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תביא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לסיום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הדיון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בטענות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בקידום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המינוי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שיבחר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המועמד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לראשות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השב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שיובא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לבחינת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המייעצת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ולאחר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מכן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לאישור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720"/>
        <w:jc w:val="both"/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720"/>
        <w:jc w:val="both"/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הדגיש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פרשנות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ההסכמה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וההחלטה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שתואמת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לאופן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הובנו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הצדדים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להסכמה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והיועצת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בשים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להתנהלותם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אמת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בראי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עמדתם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שהובעה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בהליך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הנוכחי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הוטעם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קיים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קושי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לאמץ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בנקודת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הזמן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הנוכחית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פרשנות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המנוגדת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לזו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אוחזים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הצדדים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להסכמה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ושבהתאם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פעלו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720"/>
        <w:jc w:val="both"/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720"/>
        <w:jc w:val="both"/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דחה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סולברג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פגמים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בכשירותו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ובטוהר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מידותיו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זיני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לבחינה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מספקת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שערכה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בעניינים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להלכה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הפסוקה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הנוגע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להתערבות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במינויים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המתבצעים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בפרט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לתפקידים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דוגמת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השירות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לנקוט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זהירות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רבה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וכמה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כשהמינוי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נבחן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המייעצת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מומחיות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מיוחדת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הנוגע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לבחינת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היבטים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720"/>
        <w:jc w:val="both"/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720"/>
        <w:jc w:val="both"/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מצא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לקבלת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העותרים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התאמה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מקצועית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זיני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לתפקיד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וגם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הטענות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לטוהר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מידותיו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זיני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שנדחו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בדין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המייעצת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בפרט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נוכח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העובדה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שרבות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מטענות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נסמכו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ורק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פרסומים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עיתונאיים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שבפרסומים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מסוג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די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לבסס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עתירה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המוגשת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בטענות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שהועלו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פגמים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בהליך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המינוי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מצא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סולברג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הצדקה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למתן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הסעדים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שהתבקשו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בעתירות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הגם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שצוין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חף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מקשיים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.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360" w:lineRule="auto"/>
        <w:ind w:firstLine="720"/>
        <w:jc w:val="both"/>
        <w:rPr>
          <w:rFonts w:ascii="FrankRuehl" w:cs="FrankRuehl" w:eastAsia="FrankRuehl" w:hAnsi="FrankRuehl"/>
          <w:color w:val="002060"/>
          <w:sz w:val="28"/>
          <w:szCs w:val="28"/>
        </w:rPr>
      </w:pP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הנשיא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עמית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סבר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בדעת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מיעוט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החלטת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המינוי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במתכונת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שבה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התקבלה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מעוררת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קושי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המצדיק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הוצאת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צו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תנאי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המורה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למשיבים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לנמק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יוחזר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עניינו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זיני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לוועדה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המייעצת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לצורך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השלמת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הנמקתה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line="360" w:lineRule="auto"/>
        <w:ind w:firstLine="720"/>
        <w:jc w:val="both"/>
        <w:rPr>
          <w:rFonts w:ascii="FrankRuehl" w:cs="FrankRuehl" w:eastAsia="FrankRuehl" w:hAnsi="FrankRuehl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line="360" w:lineRule="auto"/>
        <w:ind w:firstLine="720"/>
        <w:jc w:val="both"/>
        <w:rPr>
          <w:rFonts w:ascii="FrankRuehl" w:cs="FrankRuehl" w:eastAsia="FrankRuehl" w:hAnsi="FrankRuehl"/>
          <w:color w:val="002060"/>
          <w:sz w:val="28"/>
          <w:szCs w:val="28"/>
        </w:rPr>
      </w:pP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הנשיא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עמית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הדגיש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בפתח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הדברים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זיני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לוחם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עז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נפש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שמילא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שורה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תפקידים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קרביים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בצה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טיפס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בסולם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הדרגות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לדרגת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אלוף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מבלי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שבמהלך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השנים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עלתה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טענה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כלשהי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לגבי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יושרו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ויושרתו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האישית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והמקצועית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להסכמות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שבין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משיבי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המדינה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בעניין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גואילי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ציין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הנשיא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תחומות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לשאלת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מעורבותו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ראש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הממשלה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בהצעת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מועמד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לראשות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השירות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רקע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ניגוד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העניינים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שנקבע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לגביו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בבג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54321-03-25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התנועה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למען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איכות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השלטון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בישראל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נ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ממשלת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‏(‏21.5.2025‏).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הסכמות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הבהיר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הנשיא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נועדו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לאפשר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מימוש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הסמכות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הסטטוטורית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הנתונה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לראש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הממשלה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תוך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הבהרה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מימוש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סמכות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ייעשה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בהתאם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לכללי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הנהוגים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בנדון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בחינת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טוהר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המידות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במובנו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הרחב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הגורם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הממונה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הגורם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הממנה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ובלא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נקיטת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עמדה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מוקדמת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מצד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line="360" w:lineRule="auto"/>
        <w:jc w:val="both"/>
        <w:rPr>
          <w:rFonts w:ascii="FrankRuehl" w:cs="FrankRuehl" w:eastAsia="FrankRuehl" w:hAnsi="FrankRuehl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line="360" w:lineRule="auto"/>
        <w:ind w:firstLine="720"/>
        <w:jc w:val="both"/>
        <w:rPr>
          <w:rFonts w:ascii="FrankRuehl" w:cs="FrankRuehl" w:eastAsia="FrankRuehl" w:hAnsi="FrankRuehl"/>
          <w:color w:val="002060"/>
          <w:sz w:val="28"/>
          <w:szCs w:val="28"/>
        </w:rPr>
      </w:pP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עיון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בהחלטת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המייעצת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מעלה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אינה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כוללת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בחינה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מעין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ביחס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לגורם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הממנה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ראש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הממשלה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).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נקבע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המייעצת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פירשה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באופן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שגוי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ההסכמות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ככאלו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החוסמות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בחינתה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ובכך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צמצמה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סמכותה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באופן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שאינו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עולה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בקנה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המנדט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שניתן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פי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דין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ועם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ההסכמות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בעניין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גואילי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הנשיא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עמית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עמד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שתוצאה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מובילה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למעין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מעגל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שוטה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מחד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גיסא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ההסכמות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בעניין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גואילי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נשענו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קיומה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בחינה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עתידית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המייעצת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ומאידך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גיסא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עצמה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בהישענה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אותן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הסכמות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ועל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הבנתה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אותן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נמנעה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מלבחון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טוהר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המידות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במובן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הרחב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הגורם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הממנה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בעשותה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הפכה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באופן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שגוי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ההסכמות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למקור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המצמצם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סמכותה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1C">
      <w:pPr>
        <w:bidi w:val="1"/>
        <w:spacing w:line="360" w:lineRule="auto"/>
        <w:ind w:firstLine="720"/>
        <w:jc w:val="both"/>
        <w:rPr>
          <w:rFonts w:ascii="FrankRuehl" w:cs="FrankRuehl" w:eastAsia="FrankRuehl" w:hAnsi="FrankRuehl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line="360" w:lineRule="auto"/>
        <w:ind w:firstLine="720"/>
        <w:jc w:val="both"/>
        <w:rPr>
          <w:rFonts w:ascii="FrankRuehl" w:cs="FrankRuehl" w:eastAsia="FrankRuehl" w:hAnsi="FrankRuehl"/>
          <w:color w:val="002060"/>
          <w:sz w:val="28"/>
          <w:szCs w:val="28"/>
        </w:rPr>
      </w:pP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הנשיא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הדגיש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היעדר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התייחסות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לטענות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כבדות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משקל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שהועלו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בפני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לרבות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אלו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הנוגעות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לרקע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שהוביל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למינוי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להתנהלות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ראש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הממשלה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ולאפשרות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קיומם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שיקולים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זרים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במינוי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מותיר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החלטת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ללא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בסיס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עובדתי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ומשפטי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מספק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במצב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דברים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סבר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הנשיא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העותרים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עמדו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בנטל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הראייתי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הראשוני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להצביע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פגם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לכאורי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בהחלטת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המינוי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ועל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הצורך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להחזיר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עניינו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זיני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לוועדה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המייעצת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לצורך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השלמת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הנמקתה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1E">
      <w:pPr>
        <w:bidi w:val="1"/>
        <w:spacing w:line="360" w:lineRule="auto"/>
        <w:ind w:firstLine="720"/>
        <w:jc w:val="both"/>
        <w:rPr>
          <w:rFonts w:ascii="FrankRuehl" w:cs="FrankRuehl" w:eastAsia="FrankRuehl" w:hAnsi="FrankRuehl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120" w:line="360" w:lineRule="auto"/>
        <w:jc w:val="both"/>
        <w:rPr>
          <w:rFonts w:ascii="FrankRuehl" w:cs="FrankRuehl" w:eastAsia="FrankRuehl" w:hAnsi="FrankRuehl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ab/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השופט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ד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מינץ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הצטרף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בהסכמה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לדעתו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המשנה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לנשיא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והוסיף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קשה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לקבל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הפרשנות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שהציע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הנשיא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להסכמה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שקיבלה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תוקף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החלטה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שיפוטית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בעניין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גואילי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ציין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מקום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לטענות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שהועלו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בעתירות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ושלפיהן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נדרש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לפסול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מינויו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זיני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מחמת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השקפת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העולם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מיוחסת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משמדובר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בהשקפת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עולם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דתית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וציונית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שאין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הצדקה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לפסול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בגינה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מועמד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מאחר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שיסוד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הטענות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בפרסומים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עיתונאיים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וברכילות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בלתי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מבוססת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באשר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להתבטאויות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בני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משפחה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זיני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לבסוף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נאמר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בהתייחס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לטענות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שלפיהן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זיני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אינו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מתאים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לתפקיד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מאחר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צמח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בערוגות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השירות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מהלכי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הצרחה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דומים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התבצעו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פעם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פעמיים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בעבר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נמצא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בדבר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פסול</w:t>
      </w:r>
      <w:r w:rsidDel="00000000" w:rsidR="00000000" w:rsidRPr="00000000">
        <w:rPr>
          <w:rFonts w:ascii="FrankRuehl" w:cs="FrankRuehl" w:eastAsia="FrankRuehl" w:hAnsi="FrankRuehl"/>
          <w:color w:val="00206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after="120" w:line="360" w:lineRule="auto"/>
        <w:jc w:val="both"/>
        <w:rPr>
          <w:rFonts w:ascii="FrankRuehl" w:cs="FrankRuehl" w:eastAsia="FrankRuehl" w:hAnsi="FrankRuehl"/>
          <w:color w:val="323e4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206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26"/>
          <w:szCs w:val="26"/>
          <w:rtl w:val="1"/>
        </w:rPr>
        <w:t xml:space="preserve">***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26"/>
          <w:szCs w:val="26"/>
          <w:rtl w:val="1"/>
        </w:rPr>
        <w:t xml:space="preserve">הנוסח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26"/>
          <w:szCs w:val="26"/>
          <w:rtl w:val="1"/>
        </w:rPr>
        <w:t xml:space="preserve">המחייב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26"/>
          <w:szCs w:val="26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26"/>
          <w:szCs w:val="2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26"/>
          <w:szCs w:val="26"/>
          <w:rtl w:val="1"/>
        </w:rPr>
        <w:t xml:space="preserve">פסק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26"/>
          <w:szCs w:val="26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26"/>
          <w:szCs w:val="26"/>
          <w:rtl w:val="1"/>
        </w:rPr>
        <w:t xml:space="preserve">המלא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002060"/>
          <w:sz w:val="26"/>
          <w:szCs w:val="26"/>
          <w:rtl w:val="1"/>
        </w:rPr>
        <w:t xml:space="preserve"> ***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FrankRuehl"/>
  <w:font w:name="Arial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153"/>
        <w:tab w:val="right" w:leader="none" w:pos="8306"/>
      </w:tabs>
      <w:bidi w:val="1"/>
      <w:spacing w:after="0" w:line="240" w:lineRule="auto"/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0"/>
      </w:rPr>
      <w:t xml:space="preserve">________________________________________________________________</w:t>
    </w:r>
  </w:p>
  <w:p w:rsidR="00000000" w:rsidDel="00000000" w:rsidP="00000000" w:rsidRDefault="00000000" w:rsidRPr="00000000" w14:paraId="00000026">
    <w:pP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בית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משפט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העליון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דרך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השופט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מאיר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שמגר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1 |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קרית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בן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גוריון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ירושלים</w:t>
    </w:r>
  </w:p>
  <w:p w:rsidR="00000000" w:rsidDel="00000000" w:rsidP="00000000" w:rsidRDefault="00000000" w:rsidRPr="00000000" w14:paraId="00000027">
    <w:pP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טל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: 074-7480412   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דוא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"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ל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: 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u w:val="single"/>
          <w:rtl w:val="0"/>
        </w:rPr>
        <w:t xml:space="preserve">Dover@court.gov.il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523875" cy="619125"/>
          <wp:effectExtent b="0" l="0" r="0" t="0"/>
          <wp:docPr descr="תיאור: semel" id="1" name="image1.png"/>
          <a:graphic>
            <a:graphicData uri="http://schemas.openxmlformats.org/drawingml/2006/picture">
              <pic:pic>
                <pic:nvPicPr>
                  <pic:cNvPr descr="תיאור: semel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entury" w:cs="Century" w:eastAsia="Century" w:hAnsi="Century"/>
        <w:sz w:val="20"/>
        <w:szCs w:val="20"/>
        <w:rtl w:val="0"/>
      </w:rPr>
      <w:t xml:space="preserve">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  <w:rtl w:val="1"/>
      </w:rPr>
      <w:t xml:space="preserve">מערכת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  <w:rtl w:val="1"/>
      </w:rPr>
      <w:t xml:space="preserve">בתי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  <w:rtl w:val="1"/>
      </w:rPr>
      <w:t xml:space="preserve">המשפט</w:t>
    </w:r>
  </w:p>
  <w:p w:rsidR="00000000" w:rsidDel="00000000" w:rsidP="00000000" w:rsidRDefault="00000000" w:rsidRPr="00000000" w14:paraId="00000024">
    <w:pP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  <w:rtl w:val="1"/>
      </w:rPr>
      <w:t xml:space="preserve">דוברות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  <w:rtl w:val="1"/>
      </w:rPr>
      <w:t xml:space="preserve">והסברה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over@court.gov.i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