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123" w:rsidRPr="00832AD7" w:rsidRDefault="00983123" w:rsidP="00832AD7">
      <w:pPr>
        <w:spacing w:after="0" w:line="240" w:lineRule="auto"/>
        <w:jc w:val="right"/>
        <w:rPr>
          <w:rFonts w:ascii="Times New Roman" w:eastAsia="Times New Roman" w:hAnsi="Times New Roman" w:cs="David"/>
          <w:sz w:val="16"/>
          <w:szCs w:val="16"/>
        </w:rPr>
      </w:pP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DocDateEng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15 בספטמבר 2025</w:t>
      </w:r>
      <w:r w:rsidRPr="00832AD7">
        <w:rPr>
          <w:rFonts w:ascii="Times New Roman" w:eastAsia="Times New Roman" w:hAnsi="Times New Roman" w:cs="David" w:hint="cs"/>
          <w:sz w:val="16"/>
          <w:szCs w:val="16"/>
          <w:rtl/>
        </w:rPr>
        <w:fldChar w:fldCharType="end"/>
      </w:r>
    </w:p>
    <w:p w:rsidR="00983123" w:rsidRPr="00832AD7" w:rsidRDefault="00983123" w:rsidP="00832AD7">
      <w:pPr>
        <w:spacing w:after="0" w:line="240" w:lineRule="auto"/>
        <w:jc w:val="right"/>
        <w:rPr>
          <w:rFonts w:ascii="Times New Roman" w:eastAsia="Times New Roman" w:hAnsi="Times New Roman" w:cs="David"/>
          <w:sz w:val="16"/>
          <w:szCs w:val="16"/>
          <w:rtl/>
        </w:rPr>
      </w:pPr>
      <w:r w:rsidRPr="00832AD7">
        <w:rPr>
          <w:rFonts w:ascii="Times New Roman" w:eastAsia="Times New Roman" w:hAnsi="Times New Roman" w:cs="David" w:hint="cs"/>
          <w:sz w:val="16"/>
          <w:szCs w:val="16"/>
          <w:rtl/>
        </w:rPr>
        <w:t xml:space="preserve">                                                                                                   </w:t>
      </w: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DocDateHeb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כ"ב באלול תשפ"ה</w:t>
      </w:r>
      <w:r w:rsidRPr="00832AD7">
        <w:rPr>
          <w:rFonts w:ascii="Times New Roman" w:eastAsia="Times New Roman" w:hAnsi="Times New Roman" w:cs="David" w:hint="cs"/>
          <w:sz w:val="16"/>
          <w:szCs w:val="16"/>
          <w:rtl/>
        </w:rPr>
        <w:fldChar w:fldCharType="end"/>
      </w:r>
    </w:p>
    <w:p w:rsidR="00515986" w:rsidRPr="00252C62" w:rsidRDefault="00983123" w:rsidP="00252C62">
      <w:pPr>
        <w:spacing w:after="0" w:line="240" w:lineRule="auto"/>
        <w:jc w:val="right"/>
        <w:rPr>
          <w:rFonts w:ascii="Times New Roman" w:eastAsia="Times New Roman" w:hAnsi="Times New Roman" w:cs="David"/>
          <w:sz w:val="24"/>
          <w:szCs w:val="24"/>
          <w:rtl/>
        </w:rPr>
      </w:pP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DocNumber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4700-1039-2025-006074</w:t>
      </w:r>
      <w:r w:rsidRPr="00832AD7">
        <w:rPr>
          <w:rFonts w:ascii="Times New Roman" w:eastAsia="Times New Roman" w:hAnsi="Times New Roman" w:cs="David" w:hint="cs"/>
          <w:sz w:val="16"/>
          <w:szCs w:val="16"/>
          <w:rtl/>
        </w:rPr>
        <w:fldChar w:fldCharType="end"/>
      </w:r>
    </w:p>
    <w:p w:rsidR="003A001E" w:rsidRDefault="003A001E" w:rsidP="006A2A45">
      <w:pPr>
        <w:pStyle w:val="Ruller4"/>
        <w:numPr>
          <w:ilvl w:val="0"/>
          <w:numId w:val="0"/>
        </w:numPr>
        <w:spacing w:line="240" w:lineRule="auto"/>
        <w:jc w:val="center"/>
        <w:rPr>
          <w:rFonts w:ascii="David" w:hAnsi="David" w:cs="David"/>
          <w:b/>
          <w:bCs/>
          <w:u w:val="single"/>
          <w:rtl/>
        </w:rPr>
      </w:pPr>
    </w:p>
    <w:p w:rsidR="00252C62" w:rsidRPr="00155CEF" w:rsidRDefault="00252C62" w:rsidP="00252C62">
      <w:pPr>
        <w:pStyle w:val="Ruller4"/>
        <w:numPr>
          <w:ilvl w:val="0"/>
          <w:numId w:val="0"/>
        </w:numPr>
        <w:jc w:val="center"/>
        <w:rPr>
          <w:rFonts w:ascii="David" w:hAnsi="David" w:cs="David"/>
          <w:b/>
          <w:bCs/>
          <w:u w:val="single"/>
          <w:rtl/>
        </w:rPr>
      </w:pPr>
      <w:r w:rsidRPr="00155CEF">
        <w:rPr>
          <w:rFonts w:ascii="David" w:hAnsi="David" w:cs="David" w:hint="cs"/>
          <w:b/>
          <w:bCs/>
          <w:u w:val="single"/>
          <w:rtl/>
        </w:rPr>
        <w:t>תקציר פסק-דין בתיק בג"ץ 7922/19 עמותת צדק פיננסי נ' הרמטכ"ל</w:t>
      </w:r>
    </w:p>
    <w:p w:rsidR="00252C62" w:rsidRDefault="00252C62" w:rsidP="00252C62">
      <w:pPr>
        <w:pStyle w:val="Ruller40"/>
        <w:rPr>
          <w:rtl/>
        </w:rPr>
      </w:pPr>
    </w:p>
    <w:p w:rsidR="00252C62" w:rsidRPr="00252C62" w:rsidRDefault="00252C62" w:rsidP="00252C62">
      <w:pPr>
        <w:tabs>
          <w:tab w:val="left" w:pos="800"/>
        </w:tabs>
        <w:jc w:val="both"/>
        <w:rPr>
          <w:rFonts w:ascii="David" w:eastAsia="Calibri" w:hAnsi="David" w:cs="David"/>
          <w:sz w:val="24"/>
          <w:szCs w:val="24"/>
          <w:rtl/>
        </w:rPr>
      </w:pPr>
      <w:r w:rsidRPr="007A7E73">
        <w:rPr>
          <w:rFonts w:ascii="David" w:eastAsia="Calibri" w:hAnsi="David" w:cs="David"/>
          <w:b/>
          <w:bCs/>
          <w:sz w:val="24"/>
          <w:szCs w:val="24"/>
          <w:u w:val="single"/>
          <w:rtl/>
        </w:rPr>
        <w:t>תאריך מתן פסק הדין</w:t>
      </w:r>
      <w:r w:rsidRPr="007A7E73">
        <w:rPr>
          <w:rFonts w:ascii="David" w:eastAsia="Calibri" w:hAnsi="David" w:cs="David"/>
          <w:sz w:val="24"/>
          <w:szCs w:val="24"/>
          <w:rtl/>
        </w:rPr>
        <w:t>:</w:t>
      </w:r>
      <w:r>
        <w:rPr>
          <w:rFonts w:ascii="David" w:eastAsia="Calibri" w:hAnsi="David" w:cs="David" w:hint="cs"/>
          <w:sz w:val="24"/>
          <w:szCs w:val="24"/>
          <w:rtl/>
        </w:rPr>
        <w:t xml:space="preserve"> </w:t>
      </w:r>
      <w:r>
        <w:rPr>
          <w:rFonts w:ascii="David" w:eastAsia="Calibri" w:hAnsi="David" w:cs="David" w:hint="eastAsia"/>
          <w:sz w:val="24"/>
          <w:szCs w:val="24"/>
          <w:rtl/>
        </w:rPr>
        <w:t>‏כ</w:t>
      </w:r>
      <w:r>
        <w:rPr>
          <w:rFonts w:ascii="David" w:eastAsia="Calibri" w:hAnsi="David" w:cs="David"/>
          <w:sz w:val="24"/>
          <w:szCs w:val="24"/>
          <w:rtl/>
        </w:rPr>
        <w:t xml:space="preserve">"ב באלול </w:t>
      </w:r>
      <w:proofErr w:type="spellStart"/>
      <w:r>
        <w:rPr>
          <w:rFonts w:ascii="David" w:eastAsia="Calibri" w:hAnsi="David" w:cs="David"/>
          <w:sz w:val="24"/>
          <w:szCs w:val="24"/>
          <w:rtl/>
        </w:rPr>
        <w:t>התשפ"ה</w:t>
      </w:r>
      <w:proofErr w:type="spellEnd"/>
      <w:r>
        <w:rPr>
          <w:rFonts w:ascii="David" w:eastAsia="Calibri" w:hAnsi="David" w:cs="David"/>
          <w:sz w:val="24"/>
          <w:szCs w:val="24"/>
          <w:rtl/>
        </w:rPr>
        <w:t xml:space="preserve"> (</w:t>
      </w:r>
      <w:r>
        <w:rPr>
          <w:rFonts w:ascii="David" w:eastAsia="Calibri" w:hAnsi="David" w:cs="David" w:hint="eastAsia"/>
          <w:sz w:val="24"/>
          <w:szCs w:val="24"/>
          <w:rtl/>
        </w:rPr>
        <w:t>‏</w:t>
      </w:r>
      <w:r>
        <w:rPr>
          <w:rFonts w:ascii="David" w:eastAsia="Calibri" w:hAnsi="David" w:cs="David"/>
          <w:sz w:val="24"/>
          <w:szCs w:val="24"/>
          <w:rtl/>
        </w:rPr>
        <w:t>15.9.2025).</w:t>
      </w:r>
    </w:p>
    <w:p w:rsidR="00252C62" w:rsidRDefault="00252C62" w:rsidP="00252C62">
      <w:pPr>
        <w:pStyle w:val="Ruller40"/>
        <w:rPr>
          <w:rFonts w:ascii="David" w:hAnsi="David" w:cs="David"/>
          <w:sz w:val="20"/>
          <w:szCs w:val="24"/>
          <w:rtl/>
        </w:rPr>
      </w:pPr>
      <w:r w:rsidRPr="00155CEF">
        <w:rPr>
          <w:rFonts w:ascii="David" w:hAnsi="David" w:cs="David" w:hint="cs"/>
          <w:b/>
          <w:bCs/>
          <w:sz w:val="20"/>
          <w:szCs w:val="24"/>
          <w:u w:val="single"/>
          <w:rtl/>
        </w:rPr>
        <w:t>הרכב השופטים</w:t>
      </w:r>
      <w:r>
        <w:rPr>
          <w:rFonts w:ascii="David" w:hAnsi="David" w:cs="David" w:hint="cs"/>
          <w:sz w:val="20"/>
          <w:szCs w:val="24"/>
          <w:rtl/>
        </w:rPr>
        <w:t>: הנשיא י' עמית, השופט ד' מינץ והשופט ע' גרוסקופף.</w:t>
      </w:r>
    </w:p>
    <w:p w:rsidR="00252C62" w:rsidRDefault="00252C62" w:rsidP="00252C62">
      <w:pPr>
        <w:pStyle w:val="Ruller40"/>
        <w:rPr>
          <w:rFonts w:ascii="David" w:hAnsi="David" w:cs="David"/>
          <w:sz w:val="20"/>
          <w:szCs w:val="24"/>
          <w:rtl/>
        </w:rPr>
      </w:pPr>
    </w:p>
    <w:p w:rsidR="00252C62" w:rsidRPr="00155CEF" w:rsidRDefault="00252C62" w:rsidP="004859F6">
      <w:pPr>
        <w:pStyle w:val="Ruller40"/>
        <w:rPr>
          <w:rFonts w:ascii="David" w:hAnsi="David" w:cs="David"/>
          <w:b/>
          <w:bCs/>
          <w:sz w:val="20"/>
          <w:szCs w:val="24"/>
          <w:rtl/>
        </w:rPr>
      </w:pPr>
      <w:r w:rsidRPr="00155CEF">
        <w:rPr>
          <w:rFonts w:ascii="David" w:hAnsi="David" w:cs="David" w:hint="cs"/>
          <w:b/>
          <w:bCs/>
          <w:sz w:val="20"/>
          <w:szCs w:val="24"/>
          <w:rtl/>
        </w:rPr>
        <w:t xml:space="preserve">בית המשפט </w:t>
      </w:r>
      <w:r w:rsidRPr="00353457">
        <w:rPr>
          <w:rFonts w:ascii="David" w:hAnsi="David" w:cs="David" w:hint="cs"/>
          <w:b/>
          <w:bCs/>
          <w:sz w:val="20"/>
          <w:szCs w:val="24"/>
          <w:rtl/>
        </w:rPr>
        <w:t>העליון קבע פה אחד כי סמכות הרמטכ"ל</w:t>
      </w:r>
      <w:r w:rsidR="001C1BA1" w:rsidRPr="00353457">
        <w:rPr>
          <w:rFonts w:ascii="David" w:hAnsi="David" w:cs="David" w:hint="cs"/>
          <w:b/>
          <w:bCs/>
          <w:sz w:val="20"/>
          <w:szCs w:val="24"/>
          <w:rtl/>
        </w:rPr>
        <w:t xml:space="preserve"> </w:t>
      </w:r>
      <w:r w:rsidRPr="00353457">
        <w:rPr>
          <w:rFonts w:ascii="David" w:hAnsi="David" w:cs="David" w:hint="cs"/>
          <w:b/>
          <w:bCs/>
          <w:sz w:val="20"/>
          <w:szCs w:val="24"/>
          <w:rtl/>
        </w:rPr>
        <w:t>ל</w:t>
      </w:r>
      <w:r w:rsidR="00CE1F7D">
        <w:rPr>
          <w:rFonts w:ascii="David" w:hAnsi="David" w:cs="David" w:hint="cs"/>
          <w:b/>
          <w:bCs/>
          <w:sz w:val="20"/>
          <w:szCs w:val="24"/>
          <w:rtl/>
        </w:rPr>
        <w:t>העניק לפורשי צה"ל א</w:t>
      </w:r>
      <w:r w:rsidRPr="00353457">
        <w:rPr>
          <w:rFonts w:ascii="David" w:hAnsi="David" w:cs="David" w:hint="cs"/>
          <w:b/>
          <w:bCs/>
          <w:sz w:val="20"/>
          <w:szCs w:val="24"/>
          <w:rtl/>
        </w:rPr>
        <w:t>ת רכיב הפנסיה המכונה "הגדלות הרמטכ"ל"</w:t>
      </w:r>
      <w:r w:rsidR="00CE1F7D">
        <w:rPr>
          <w:rFonts w:ascii="David" w:hAnsi="David" w:cs="David" w:hint="cs"/>
          <w:b/>
          <w:bCs/>
          <w:sz w:val="20"/>
          <w:szCs w:val="24"/>
          <w:rtl/>
        </w:rPr>
        <w:t>,</w:t>
      </w:r>
      <w:r w:rsidRPr="00353457">
        <w:rPr>
          <w:rFonts w:ascii="David" w:hAnsi="David" w:cs="David" w:hint="cs"/>
          <w:b/>
          <w:bCs/>
          <w:sz w:val="20"/>
          <w:szCs w:val="24"/>
          <w:rtl/>
        </w:rPr>
        <w:t xml:space="preserve"> הופעלה</w:t>
      </w:r>
      <w:r w:rsidR="001C1BA1" w:rsidRPr="00353457">
        <w:rPr>
          <w:rFonts w:ascii="David" w:hAnsi="David" w:cs="David" w:hint="cs"/>
          <w:b/>
          <w:bCs/>
          <w:sz w:val="20"/>
          <w:szCs w:val="24"/>
          <w:rtl/>
        </w:rPr>
        <w:t xml:space="preserve"> </w:t>
      </w:r>
      <w:r w:rsidR="001C1BA1" w:rsidRPr="00CE1F7D">
        <w:rPr>
          <w:rFonts w:ascii="David" w:hAnsi="David" w:cs="David" w:hint="cs"/>
          <w:b/>
          <w:bCs/>
          <w:sz w:val="20"/>
          <w:szCs w:val="24"/>
          <w:rtl/>
        </w:rPr>
        <w:t xml:space="preserve">לאורך </w:t>
      </w:r>
      <w:r w:rsidR="00CE1F7D">
        <w:rPr>
          <w:rFonts w:ascii="David" w:hAnsi="David" w:cs="David" w:hint="cs"/>
          <w:b/>
          <w:bCs/>
          <w:sz w:val="20"/>
          <w:szCs w:val="24"/>
          <w:rtl/>
        </w:rPr>
        <w:t>שנים רבות</w:t>
      </w:r>
      <w:r w:rsidR="00353457" w:rsidRPr="00CE1F7D">
        <w:rPr>
          <w:rFonts w:ascii="David" w:hAnsi="David" w:cs="David" w:hint="cs"/>
          <w:b/>
          <w:bCs/>
          <w:sz w:val="20"/>
          <w:szCs w:val="24"/>
          <w:rtl/>
        </w:rPr>
        <w:t xml:space="preserve"> ותחת רמטכ"לים שונים</w:t>
      </w:r>
      <w:r w:rsidRPr="00353457">
        <w:rPr>
          <w:rFonts w:ascii="David" w:hAnsi="David" w:cs="David" w:hint="cs"/>
          <w:b/>
          <w:bCs/>
          <w:sz w:val="20"/>
          <w:szCs w:val="24"/>
          <w:rtl/>
        </w:rPr>
        <w:t xml:space="preserve"> שלא כדין</w:t>
      </w:r>
      <w:r w:rsidR="00CE1F7D">
        <w:rPr>
          <w:rFonts w:ascii="David" w:hAnsi="David" w:cs="David" w:hint="cs"/>
          <w:b/>
          <w:bCs/>
          <w:sz w:val="20"/>
          <w:szCs w:val="24"/>
          <w:rtl/>
        </w:rPr>
        <w:t xml:space="preserve">. </w:t>
      </w:r>
      <w:r w:rsidRPr="00353457">
        <w:rPr>
          <w:rFonts w:ascii="David" w:hAnsi="David" w:cs="David" w:hint="cs"/>
          <w:b/>
          <w:bCs/>
          <w:sz w:val="20"/>
          <w:szCs w:val="24"/>
          <w:rtl/>
        </w:rPr>
        <w:t>כך</w:t>
      </w:r>
      <w:r w:rsidR="00CE1F7D">
        <w:rPr>
          <w:rFonts w:ascii="David" w:hAnsi="David" w:cs="David" w:hint="cs"/>
          <w:b/>
          <w:bCs/>
          <w:sz w:val="20"/>
          <w:szCs w:val="24"/>
          <w:rtl/>
        </w:rPr>
        <w:t>, מהטעם שהגדלות הרמטכ"ל ניתנו</w:t>
      </w:r>
      <w:r w:rsidRPr="00353457">
        <w:rPr>
          <w:rFonts w:ascii="David" w:hAnsi="David" w:cs="David" w:hint="cs"/>
          <w:b/>
          <w:bCs/>
          <w:sz w:val="20"/>
          <w:szCs w:val="24"/>
          <w:rtl/>
        </w:rPr>
        <w:t xml:space="preserve"> לרובם המוחלט</w:t>
      </w:r>
      <w:r w:rsidR="004859F6">
        <w:rPr>
          <w:rFonts w:ascii="David" w:hAnsi="David" w:cs="David" w:hint="cs"/>
          <w:b/>
          <w:bCs/>
          <w:sz w:val="20"/>
          <w:szCs w:val="24"/>
          <w:rtl/>
        </w:rPr>
        <w:t xml:space="preserve"> של</w:t>
      </w:r>
      <w:r w:rsidRPr="00353457">
        <w:rPr>
          <w:rFonts w:ascii="David" w:hAnsi="David" w:cs="David" w:hint="cs"/>
          <w:b/>
          <w:bCs/>
          <w:sz w:val="20"/>
          <w:szCs w:val="24"/>
          <w:rtl/>
        </w:rPr>
        <w:t xml:space="preserve"> </w:t>
      </w:r>
      <w:r w:rsidR="00CE1F7D">
        <w:rPr>
          <w:rFonts w:ascii="David" w:hAnsi="David" w:cs="David" w:hint="cs"/>
          <w:b/>
          <w:bCs/>
          <w:sz w:val="20"/>
          <w:szCs w:val="24"/>
          <w:rtl/>
        </w:rPr>
        <w:t>הפורשים לגמלאות משירות קבע,</w:t>
      </w:r>
      <w:r w:rsidRPr="00353457">
        <w:rPr>
          <w:rFonts w:ascii="David" w:hAnsi="David" w:cs="David" w:hint="cs"/>
          <w:b/>
          <w:bCs/>
          <w:sz w:val="20"/>
          <w:szCs w:val="24"/>
          <w:rtl/>
        </w:rPr>
        <w:t xml:space="preserve"> </w:t>
      </w:r>
      <w:r w:rsidR="00CE1F7D">
        <w:rPr>
          <w:rFonts w:ascii="David" w:hAnsi="David" w:cs="David" w:hint="cs"/>
          <w:b/>
          <w:bCs/>
          <w:sz w:val="20"/>
          <w:szCs w:val="24"/>
          <w:rtl/>
        </w:rPr>
        <w:t>בניגוד ל</w:t>
      </w:r>
      <w:r w:rsidRPr="00353457">
        <w:rPr>
          <w:rFonts w:ascii="David" w:hAnsi="David" w:cs="David" w:hint="cs"/>
          <w:b/>
          <w:bCs/>
          <w:sz w:val="20"/>
          <w:szCs w:val="24"/>
          <w:rtl/>
        </w:rPr>
        <w:t>ברירת המחדל שנקבעה על ידי המחוקק</w:t>
      </w:r>
      <w:r w:rsidR="00CE1F7D">
        <w:rPr>
          <w:rFonts w:ascii="David" w:hAnsi="David" w:cs="David" w:hint="cs"/>
          <w:b/>
          <w:bCs/>
          <w:sz w:val="20"/>
          <w:szCs w:val="24"/>
          <w:rtl/>
        </w:rPr>
        <w:t>.</w:t>
      </w:r>
      <w:r w:rsidRPr="00353457">
        <w:rPr>
          <w:rFonts w:ascii="David" w:hAnsi="David" w:cs="David" w:hint="cs"/>
          <w:b/>
          <w:bCs/>
          <w:sz w:val="20"/>
          <w:szCs w:val="24"/>
          <w:rtl/>
        </w:rPr>
        <w:t xml:space="preserve"> עוד נקבע כי נוהל הרמטכ"ל, שמכוחו ניתנו ההגדלות האמורות, חורג מהוראות החוק המסמיך ועל כן דינו בטלות. </w:t>
      </w:r>
      <w:r w:rsidR="00CE1F7D" w:rsidRPr="00CE1F7D">
        <w:rPr>
          <w:rFonts w:ascii="David" w:hAnsi="David" w:cs="David"/>
          <w:b/>
          <w:bCs/>
          <w:sz w:val="20"/>
          <w:szCs w:val="24"/>
          <w:rtl/>
        </w:rPr>
        <w:t>עם זאת, נקבע כי פסק הדין לא יביא לפגיעה בתנאי הפנסיה של גמלאים שכבר פרשו, וממילא שלא תוטל עליהם חובת השבה ביחס לכספים שקיבלו. בנוסף נקבע כי תוקפו של פסק הדין יושהה עד לסוף שנת 2025, כדי לאפשר לממשלה ולכנסת להסדיר את הסוגיה כנדרש בחקיקה ראשית, כפי שהצהירו משיבי הממשלה פעם אחר פעם לאורך השנים בהם ההליך התנהל כי ישנה כוונה לעשות.</w:t>
      </w:r>
    </w:p>
    <w:p w:rsidR="00252C62" w:rsidRDefault="00252C62" w:rsidP="00252C62">
      <w:pPr>
        <w:pStyle w:val="Ruller40"/>
        <w:rPr>
          <w:rFonts w:ascii="David" w:hAnsi="David" w:cs="David"/>
          <w:sz w:val="20"/>
          <w:szCs w:val="24"/>
          <w:rtl/>
        </w:rPr>
      </w:pPr>
    </w:p>
    <w:p w:rsidR="00252C62" w:rsidRDefault="00252C62" w:rsidP="004859F6">
      <w:pPr>
        <w:jc w:val="both"/>
        <w:rPr>
          <w:rFonts w:ascii="David" w:hAnsi="David" w:cs="David"/>
          <w:szCs w:val="24"/>
          <w:rtl/>
        </w:rPr>
      </w:pPr>
      <w:r>
        <w:rPr>
          <w:rFonts w:ascii="David" w:hAnsi="David" w:cs="David" w:hint="cs"/>
          <w:szCs w:val="24"/>
          <w:rtl/>
        </w:rPr>
        <w:t>העתירה כוּונה נגד האופן שבו יושמה</w:t>
      </w:r>
      <w:r w:rsidR="004859F6">
        <w:rPr>
          <w:rFonts w:ascii="David" w:hAnsi="David" w:cs="David" w:hint="cs"/>
          <w:szCs w:val="24"/>
          <w:rtl/>
        </w:rPr>
        <w:t xml:space="preserve"> במשך עשרות שנים</w:t>
      </w:r>
      <w:r>
        <w:rPr>
          <w:rFonts w:ascii="David" w:hAnsi="David" w:cs="David" w:hint="cs"/>
          <w:szCs w:val="24"/>
          <w:rtl/>
        </w:rPr>
        <w:t xml:space="preserve"> סמכות הרמטכ"ל להגדיל באופן מלאכותי את תקופת השירות המזכה בגמלת פנסיה של אנשי קבע פורשים, סמכות המוקנית לרמטכ"ל מכוח סעיף 18(ב) ל</w:t>
      </w:r>
      <w:r w:rsidRPr="00155CEF">
        <w:rPr>
          <w:rFonts w:ascii="David" w:hAnsi="David" w:cs="David" w:hint="eastAsia"/>
          <w:szCs w:val="24"/>
          <w:rtl/>
        </w:rPr>
        <w:t>חוק</w:t>
      </w:r>
      <w:r w:rsidRPr="00155CEF">
        <w:rPr>
          <w:rFonts w:ascii="David" w:hAnsi="David" w:cs="David"/>
          <w:szCs w:val="24"/>
          <w:rtl/>
        </w:rPr>
        <w:t xml:space="preserve"> </w:t>
      </w:r>
      <w:r w:rsidRPr="00155CEF">
        <w:rPr>
          <w:rFonts w:ascii="David" w:hAnsi="David" w:cs="David" w:hint="eastAsia"/>
          <w:szCs w:val="24"/>
          <w:rtl/>
        </w:rPr>
        <w:t>שירות</w:t>
      </w:r>
      <w:r w:rsidRPr="00155CEF">
        <w:rPr>
          <w:rFonts w:ascii="David" w:hAnsi="David" w:cs="David"/>
          <w:szCs w:val="24"/>
          <w:rtl/>
        </w:rPr>
        <w:t xml:space="preserve"> </w:t>
      </w:r>
      <w:r w:rsidRPr="00155CEF">
        <w:rPr>
          <w:rFonts w:ascii="David" w:hAnsi="David" w:cs="David" w:hint="eastAsia"/>
          <w:szCs w:val="24"/>
          <w:rtl/>
        </w:rPr>
        <w:t>הקבע</w:t>
      </w:r>
      <w:r w:rsidRPr="00155CEF">
        <w:rPr>
          <w:rFonts w:ascii="David" w:hAnsi="David" w:cs="David"/>
          <w:szCs w:val="24"/>
          <w:rtl/>
        </w:rPr>
        <w:t xml:space="preserve"> </w:t>
      </w:r>
      <w:r w:rsidRPr="00155CEF">
        <w:rPr>
          <w:rFonts w:ascii="David" w:hAnsi="David" w:cs="David" w:hint="eastAsia"/>
          <w:szCs w:val="24"/>
          <w:rtl/>
        </w:rPr>
        <w:t>בצבא</w:t>
      </w:r>
      <w:r w:rsidRPr="00155CEF">
        <w:rPr>
          <w:rFonts w:ascii="David" w:hAnsi="David" w:cs="David"/>
          <w:szCs w:val="24"/>
          <w:rtl/>
        </w:rPr>
        <w:t>-</w:t>
      </w:r>
      <w:r w:rsidRPr="00155CEF">
        <w:rPr>
          <w:rFonts w:ascii="David" w:hAnsi="David" w:cs="David" w:hint="eastAsia"/>
          <w:szCs w:val="24"/>
          <w:rtl/>
        </w:rPr>
        <w:t>הגנה</w:t>
      </w:r>
      <w:r w:rsidRPr="00155CEF">
        <w:rPr>
          <w:rFonts w:ascii="David" w:hAnsi="David" w:cs="David"/>
          <w:szCs w:val="24"/>
          <w:rtl/>
        </w:rPr>
        <w:t xml:space="preserve"> </w:t>
      </w:r>
      <w:r w:rsidRPr="00155CEF">
        <w:rPr>
          <w:rFonts w:ascii="David" w:hAnsi="David" w:cs="David" w:hint="eastAsia"/>
          <w:szCs w:val="24"/>
          <w:rtl/>
        </w:rPr>
        <w:t>לישראל</w:t>
      </w:r>
      <w:r w:rsidRPr="00155CEF">
        <w:rPr>
          <w:rFonts w:ascii="David" w:hAnsi="David" w:cs="David"/>
          <w:szCs w:val="24"/>
          <w:rtl/>
        </w:rPr>
        <w:t xml:space="preserve"> (</w:t>
      </w:r>
      <w:proofErr w:type="spellStart"/>
      <w:r w:rsidRPr="00155CEF">
        <w:rPr>
          <w:rFonts w:ascii="David" w:hAnsi="David" w:cs="David" w:hint="eastAsia"/>
          <w:szCs w:val="24"/>
          <w:rtl/>
        </w:rPr>
        <w:t>גימלאות</w:t>
      </w:r>
      <w:proofErr w:type="spellEnd"/>
      <w:r w:rsidRPr="00155CEF">
        <w:rPr>
          <w:rFonts w:ascii="David" w:hAnsi="David" w:cs="David"/>
          <w:szCs w:val="24"/>
          <w:rtl/>
        </w:rPr>
        <w:t>) [</w:t>
      </w:r>
      <w:r w:rsidRPr="00155CEF">
        <w:rPr>
          <w:rFonts w:ascii="David" w:hAnsi="David" w:cs="David" w:hint="eastAsia"/>
          <w:szCs w:val="24"/>
          <w:rtl/>
        </w:rPr>
        <w:t>נוסח</w:t>
      </w:r>
      <w:r w:rsidRPr="00155CEF">
        <w:rPr>
          <w:rFonts w:ascii="David" w:hAnsi="David" w:cs="David"/>
          <w:szCs w:val="24"/>
          <w:rtl/>
        </w:rPr>
        <w:t xml:space="preserve"> </w:t>
      </w:r>
      <w:r w:rsidRPr="00155CEF">
        <w:rPr>
          <w:rFonts w:ascii="David" w:hAnsi="David" w:cs="David" w:hint="eastAsia"/>
          <w:szCs w:val="24"/>
          <w:rtl/>
        </w:rPr>
        <w:t>משולב</w:t>
      </w:r>
      <w:r w:rsidRPr="00155CEF">
        <w:rPr>
          <w:rFonts w:ascii="David" w:hAnsi="David" w:cs="David"/>
          <w:szCs w:val="24"/>
          <w:rtl/>
        </w:rPr>
        <w:t xml:space="preserve">], </w:t>
      </w:r>
      <w:r>
        <w:rPr>
          <w:rFonts w:ascii="David" w:hAnsi="David" w:cs="David" w:hint="cs"/>
          <w:szCs w:val="24"/>
          <w:rtl/>
        </w:rPr>
        <w:t>ה</w:t>
      </w:r>
      <w:r w:rsidRPr="00155CEF">
        <w:rPr>
          <w:rFonts w:ascii="David" w:hAnsi="David" w:cs="David" w:hint="eastAsia"/>
          <w:szCs w:val="24"/>
          <w:rtl/>
        </w:rPr>
        <w:t>תשמ</w:t>
      </w:r>
      <w:r w:rsidRPr="00155CEF">
        <w:rPr>
          <w:rFonts w:ascii="David" w:hAnsi="David" w:cs="David"/>
          <w:szCs w:val="24"/>
          <w:rtl/>
        </w:rPr>
        <w:t>"</w:t>
      </w:r>
      <w:r w:rsidRPr="00155CEF">
        <w:rPr>
          <w:rFonts w:ascii="David" w:hAnsi="David" w:cs="David" w:hint="eastAsia"/>
          <w:szCs w:val="24"/>
          <w:rtl/>
        </w:rPr>
        <w:t>ה</w:t>
      </w:r>
      <w:r w:rsidRPr="00155CEF">
        <w:rPr>
          <w:rFonts w:ascii="David" w:hAnsi="David" w:cs="David"/>
          <w:szCs w:val="24"/>
          <w:rtl/>
        </w:rPr>
        <w:t>-1985</w:t>
      </w:r>
      <w:r>
        <w:rPr>
          <w:rFonts w:ascii="David" w:hAnsi="David" w:cs="David" w:hint="cs"/>
          <w:szCs w:val="24"/>
          <w:rtl/>
        </w:rPr>
        <w:t xml:space="preserve"> (להלן: </w:t>
      </w:r>
      <w:r>
        <w:rPr>
          <w:rFonts w:ascii="David" w:hAnsi="David" w:cs="David" w:hint="cs"/>
          <w:b/>
          <w:bCs/>
          <w:szCs w:val="24"/>
          <w:rtl/>
        </w:rPr>
        <w:t xml:space="preserve">חוק שירות הקבע </w:t>
      </w:r>
      <w:r>
        <w:rPr>
          <w:rFonts w:ascii="David" w:hAnsi="David" w:cs="David" w:hint="cs"/>
          <w:szCs w:val="24"/>
          <w:rtl/>
        </w:rPr>
        <w:t xml:space="preserve">או </w:t>
      </w:r>
      <w:r>
        <w:rPr>
          <w:rFonts w:ascii="David" w:hAnsi="David" w:cs="David" w:hint="cs"/>
          <w:b/>
          <w:bCs/>
          <w:szCs w:val="24"/>
          <w:rtl/>
        </w:rPr>
        <w:t>החוק</w:t>
      </w:r>
      <w:r>
        <w:rPr>
          <w:rFonts w:ascii="David" w:hAnsi="David" w:cs="David" w:hint="cs"/>
          <w:szCs w:val="24"/>
          <w:rtl/>
        </w:rPr>
        <w:t>).</w:t>
      </w:r>
      <w:r w:rsidRPr="00155CEF">
        <w:rPr>
          <w:rFonts w:ascii="David" w:hAnsi="David" w:cs="David" w:hint="eastAsia"/>
          <w:szCs w:val="24"/>
          <w:rtl/>
        </w:rPr>
        <w:t xml:space="preserve"> </w:t>
      </w:r>
      <w:r>
        <w:rPr>
          <w:rFonts w:ascii="David" w:hAnsi="David" w:cs="David" w:hint="cs"/>
          <w:szCs w:val="24"/>
          <w:rtl/>
        </w:rPr>
        <w:t>כמו כן, העתירה תקפה את חוקיותו של נוהל הרמטכ"ל, שנועד להתוות את הכללים שלפיהם תמומש סמכות הרמטכ"ל להגדיל את תקופת השירות</w:t>
      </w:r>
      <w:bookmarkStart w:id="0" w:name="_GoBack"/>
      <w:r>
        <w:rPr>
          <w:rFonts w:ascii="David" w:hAnsi="David" w:cs="David" w:hint="cs"/>
          <w:szCs w:val="24"/>
          <w:rtl/>
        </w:rPr>
        <w:t xml:space="preserve"> של אנשי קבע פורשים.</w:t>
      </w:r>
      <w:bookmarkEnd w:id="0"/>
    </w:p>
    <w:p w:rsidR="004859F6" w:rsidRDefault="004859F6" w:rsidP="00252C62">
      <w:pPr>
        <w:jc w:val="both"/>
        <w:rPr>
          <w:rFonts w:ascii="David" w:hAnsi="David" w:cs="David"/>
          <w:szCs w:val="24"/>
          <w:rtl/>
        </w:rPr>
      </w:pPr>
      <w:r w:rsidRPr="004859F6">
        <w:rPr>
          <w:rFonts w:ascii="David" w:hAnsi="David" w:cs="David"/>
          <w:szCs w:val="24"/>
          <w:rtl/>
        </w:rPr>
        <w:t xml:space="preserve">הכרעת בית המשפט ניתנה לאחר שהעתירה הייתה תלויה ועומדת קרוב לשש שנים. לאורך תקופה זו, לא הייתה מחלוקת בין העותרות ובין משיבי הממשלה כי קיים קושי משפטי מהותי באופן שבו מומשה סמכות הרמטכ"ל. בפרט, גם העותרות וגם משיבי הממשלה הסכימו כי הענקת ההגדלות לרובם המוחלט של אנשי הקבע הפורשים – פרקטיקה ההופכת את החריג הקבוע בחוק לכלל – חורגת מגדר הסמכות החוקית שהוקנתה לרמטכ"ל, ומצריכה עיגון בחקיקה ראשית. עוד הסכימו משיבי הממשלה כי הוראות נוהל הרמטכ"ל אינן מתיישבות עם הדין הקיים. מטעמים אלה, ובמקום הכרעה שיפוטית, ביקשו משיבי הממשלה שהות על מנת להסדיר את הסוגיה בחקיקה ראשית. </w:t>
      </w:r>
    </w:p>
    <w:p w:rsidR="004859F6" w:rsidRDefault="004859F6" w:rsidP="00252C62">
      <w:pPr>
        <w:jc w:val="both"/>
        <w:rPr>
          <w:rFonts w:ascii="David" w:hAnsi="David" w:cs="David"/>
          <w:sz w:val="24"/>
          <w:szCs w:val="24"/>
          <w:rtl/>
        </w:rPr>
      </w:pPr>
      <w:r w:rsidRPr="004859F6">
        <w:rPr>
          <w:rFonts w:ascii="David" w:hAnsi="David" w:cs="David"/>
          <w:szCs w:val="24"/>
          <w:rtl/>
        </w:rPr>
        <w:t>במשך התקופה הארוכה במהלכה התבררה העתירה, נעתר בית המשפט פעם אחר פעם לבקשות ארכה מטעם משיבי הממשלה, מתוך רצון לאפשר לממשלה ולכנסת להסדיר את הסוגיה ללא צורך בהתערבות שיפוטית. חרף האמור, ועל אף פרק הזמן הארוך שניתן, לא חלה התקדמות ממשית. הליך החקיקה נעצר או עוכב שוב ושוב מטעמים משתנים. במצב דברים זה, ולאחר תקופה המתנה כה ארוכה, קבע בית המשפט כי אין עוד מנוס מלהכריע בעתירה לגופה.</w:t>
      </w:r>
    </w:p>
    <w:p w:rsidR="00252C62" w:rsidRPr="00C41C95" w:rsidRDefault="00252C62" w:rsidP="004859F6">
      <w:pPr>
        <w:jc w:val="both"/>
        <w:rPr>
          <w:rFonts w:ascii="David" w:hAnsi="David" w:cs="David"/>
          <w:sz w:val="24"/>
          <w:szCs w:val="24"/>
          <w:rtl/>
        </w:rPr>
      </w:pPr>
      <w:r w:rsidRPr="00C41C95">
        <w:rPr>
          <w:rFonts w:ascii="David" w:hAnsi="David" w:cs="David"/>
          <w:sz w:val="24"/>
          <w:szCs w:val="24"/>
          <w:rtl/>
        </w:rPr>
        <w:t>בית המשפט עמד על כך שחוק שירות הקבע קובע ברירת מחדל ביחס לשיעור קצבת הפרישה</w:t>
      </w:r>
      <w:r>
        <w:rPr>
          <w:rFonts w:ascii="David" w:hAnsi="David" w:cs="David" w:hint="cs"/>
          <w:sz w:val="24"/>
          <w:szCs w:val="24"/>
          <w:rtl/>
        </w:rPr>
        <w:t>,</w:t>
      </w:r>
      <w:r w:rsidRPr="00C41C95">
        <w:rPr>
          <w:rFonts w:ascii="David" w:hAnsi="David" w:cs="David"/>
          <w:sz w:val="24"/>
          <w:szCs w:val="24"/>
          <w:rtl/>
        </w:rPr>
        <w:t xml:space="preserve"> וכי הסמכות להעניק את הגדלות הרמטכ"ל ב"</w:t>
      </w:r>
      <w:r w:rsidRPr="004859F6">
        <w:rPr>
          <w:rFonts w:ascii="David" w:hAnsi="David" w:cs="David"/>
          <w:b/>
          <w:bCs/>
          <w:sz w:val="24"/>
          <w:szCs w:val="24"/>
          <w:rtl/>
        </w:rPr>
        <w:t xml:space="preserve">תנאים </w:t>
      </w:r>
      <w:proofErr w:type="spellStart"/>
      <w:r w:rsidRPr="004859F6">
        <w:rPr>
          <w:rFonts w:ascii="David" w:hAnsi="David" w:cs="David"/>
          <w:b/>
          <w:bCs/>
          <w:sz w:val="24"/>
          <w:szCs w:val="24"/>
          <w:rtl/>
        </w:rPr>
        <w:t>מסויימים</w:t>
      </w:r>
      <w:proofErr w:type="spellEnd"/>
      <w:r w:rsidRPr="00C41C95">
        <w:rPr>
          <w:rFonts w:ascii="David" w:hAnsi="David" w:cs="David"/>
          <w:sz w:val="24"/>
          <w:szCs w:val="24"/>
          <w:rtl/>
        </w:rPr>
        <w:t xml:space="preserve">" היא בגדר החריג שאינו הכלל שעיגן המחוקק. אלא שבפועל, התברר </w:t>
      </w:r>
      <w:r w:rsidR="004859F6">
        <w:rPr>
          <w:rFonts w:ascii="David" w:hAnsi="David" w:cs="David" w:hint="cs"/>
          <w:sz w:val="24"/>
          <w:szCs w:val="24"/>
          <w:rtl/>
        </w:rPr>
        <w:t>כי סמכות הרמטכ"ל הופעלה במשך עשרות שנים באופן רחב</w:t>
      </w:r>
      <w:r w:rsidRPr="00C41C95">
        <w:rPr>
          <w:rFonts w:ascii="David" w:hAnsi="David" w:cs="David"/>
          <w:sz w:val="24"/>
          <w:szCs w:val="24"/>
          <w:rtl/>
        </w:rPr>
        <w:t xml:space="preserve"> – כמעט ע</w:t>
      </w:r>
      <w:r>
        <w:rPr>
          <w:rFonts w:ascii="David" w:hAnsi="David" w:cs="David"/>
          <w:sz w:val="24"/>
          <w:szCs w:val="24"/>
          <w:rtl/>
        </w:rPr>
        <w:t xml:space="preserve">ל כל אוכלוסיית הפורשים. </w:t>
      </w:r>
      <w:r w:rsidR="004859F6" w:rsidRPr="004859F6">
        <w:rPr>
          <w:rFonts w:ascii="David" w:hAnsi="David" w:cs="David"/>
          <w:sz w:val="24"/>
          <w:szCs w:val="24"/>
          <w:rtl/>
        </w:rPr>
        <w:t xml:space="preserve">נקבע כי סטייה כה רחבה וממושכת מן ההסדר הקבוע בחוק </w:t>
      </w:r>
      <w:r w:rsidR="004859F6" w:rsidRPr="004859F6">
        <w:rPr>
          <w:rFonts w:ascii="David" w:hAnsi="David" w:cs="David"/>
          <w:sz w:val="24"/>
          <w:szCs w:val="24"/>
          <w:rtl/>
        </w:rPr>
        <w:lastRenderedPageBreak/>
        <w:t>שירות הקבע אינה בגדר מימוש סמכותו של הרמטכ"ל, אלא עקיפת המסגרת החקיקתית ויצירת "הסדר ראשוני" אחר, שאותו רק הכנסת מוסמכת לקבוע. זאת גם נוכח המשמעויות הת</w:t>
      </w:r>
      <w:r w:rsidR="004859F6">
        <w:rPr>
          <w:rFonts w:ascii="David" w:hAnsi="David" w:cs="David"/>
          <w:sz w:val="24"/>
          <w:szCs w:val="24"/>
          <w:rtl/>
        </w:rPr>
        <w:t>קציביות הטמונות במימוש סמכות זו.</w:t>
      </w:r>
      <w:r w:rsidR="004859F6">
        <w:rPr>
          <w:rFonts w:ascii="David" w:hAnsi="David" w:cs="David" w:hint="cs"/>
          <w:sz w:val="24"/>
          <w:szCs w:val="24"/>
          <w:rtl/>
        </w:rPr>
        <w:t xml:space="preserve"> </w:t>
      </w:r>
      <w:r w:rsidR="004859F6" w:rsidRPr="004859F6">
        <w:rPr>
          <w:rFonts w:ascii="David" w:hAnsi="David" w:cs="David"/>
          <w:sz w:val="24"/>
          <w:szCs w:val="24"/>
          <w:rtl/>
        </w:rPr>
        <w:t>עוד קבע בית המשפט כי נוהל הרמטכ"ל חורג מגדרי החוק המסמיך, גם בשל כך שהוא מכיר לעניין מתן הגדלות הרמטכ"ל ברכיבים שהחוק עצמו אינו מכיר בהם.</w:t>
      </w:r>
    </w:p>
    <w:p w:rsidR="004859F6" w:rsidRDefault="004859F6" w:rsidP="004859F6">
      <w:pPr>
        <w:jc w:val="both"/>
        <w:rPr>
          <w:rFonts w:ascii="David" w:hAnsi="David" w:cs="David"/>
          <w:szCs w:val="24"/>
          <w:rtl/>
        </w:rPr>
      </w:pPr>
      <w:r w:rsidRPr="004859F6">
        <w:rPr>
          <w:rFonts w:ascii="David" w:hAnsi="David" w:cs="David"/>
          <w:szCs w:val="24"/>
          <w:rtl/>
        </w:rPr>
        <w:t>בהינתן הפגמים שנמצאו בנוהל הרמטכ"ל נקבע כי דינו בטלות, וככל שהרמטכ"ל יבקש להפעיל את סמכותו בהקשר זה, עליו יהיה לקבוע נוהל חדש וברור, שיעמוד בגדרי החוק ובגדרי התנאים והמדיניות שנקבעו על ידי הממשלה בהחלטותיה השונות. עוד נקבע, מכוח עקרון ה"</w:t>
      </w:r>
      <w:r>
        <w:rPr>
          <w:rFonts w:ascii="David" w:hAnsi="David" w:cs="David" w:hint="cs"/>
          <w:szCs w:val="24"/>
          <w:rtl/>
        </w:rPr>
        <w:t>התוצאה</w:t>
      </w:r>
      <w:r w:rsidRPr="004859F6">
        <w:rPr>
          <w:rFonts w:ascii="David" w:hAnsi="David" w:cs="David"/>
          <w:szCs w:val="24"/>
          <w:rtl/>
        </w:rPr>
        <w:t xml:space="preserve"> היחסית", כי לפסק הדין לא תהיה תחולה למפרע, הן במובן זה שלא תחול חובת השבה על כספים ששולמו, הן במובן זה שאין בו כדי לפגוע בזכויותיהם העתידיות של משרתי קבע שכבר פרשו מצה"ל, וזכו להגדלת תקופת שירותם בהתאם לנוהל שהיה בתוקף במועד פרישתם.</w:t>
      </w:r>
    </w:p>
    <w:p w:rsidR="00252C62" w:rsidRPr="00155CEF" w:rsidRDefault="004859F6" w:rsidP="00252C62">
      <w:pPr>
        <w:jc w:val="both"/>
        <w:rPr>
          <w:rFonts w:ascii="David" w:hAnsi="David" w:cs="David"/>
          <w:szCs w:val="24"/>
          <w:rtl/>
        </w:rPr>
      </w:pPr>
      <w:r w:rsidRPr="004859F6">
        <w:rPr>
          <w:rFonts w:ascii="David" w:hAnsi="David" w:cs="David"/>
          <w:szCs w:val="24"/>
          <w:rtl/>
        </w:rPr>
        <w:t>בנוסף לכך, ועל מנת לאפשר לממשלה ולכנסת להסדיר את הסוגיה, נקבע כי תוקפו של פסק הדין יושהה בכשלושה חודשים, עד תום שנת 2025, באופן שיעניק שהות נוספת ואחרונה לממשלה ולכנסת לחוקק הסדר חלופי, ולמצער, לאפשר קביעת נוהל חדש התואם את הוראות הדין הקיים.</w:t>
      </w:r>
    </w:p>
    <w:p w:rsidR="00252C62" w:rsidRPr="00155CEF" w:rsidRDefault="00252C62" w:rsidP="00252C62">
      <w:pPr>
        <w:pStyle w:val="Ruller40"/>
        <w:rPr>
          <w:rFonts w:ascii="David" w:hAnsi="David" w:cs="David"/>
          <w:sz w:val="20"/>
          <w:szCs w:val="24"/>
          <w:rtl/>
        </w:rPr>
      </w:pPr>
    </w:p>
    <w:p w:rsidR="00E13F6E" w:rsidRDefault="00E13F6E" w:rsidP="00E13F6E">
      <w:pPr>
        <w:spacing w:after="120" w:line="360" w:lineRule="auto"/>
        <w:jc w:val="both"/>
        <w:rPr>
          <w:rFonts w:ascii="FrankRuehl" w:hAnsi="FrankRuehl" w:cs="FrankRuehl"/>
          <w:color w:val="323E4F" w:themeColor="text2" w:themeShade="BF"/>
          <w:sz w:val="26"/>
          <w:szCs w:val="26"/>
        </w:rPr>
      </w:pPr>
    </w:p>
    <w:p w:rsidR="00E13F6E" w:rsidRDefault="00E13F6E" w:rsidP="00E13F6E">
      <w:pPr>
        <w:spacing w:after="120" w:line="360" w:lineRule="auto"/>
        <w:jc w:val="both"/>
        <w:rPr>
          <w:rFonts w:ascii="FrankRuehl" w:hAnsi="FrankRuehl" w:cs="FrankRuehl"/>
          <w:color w:val="323E4F" w:themeColor="text2" w:themeShade="BF"/>
          <w:sz w:val="26"/>
          <w:szCs w:val="26"/>
          <w:rtl/>
        </w:rPr>
      </w:pPr>
    </w:p>
    <w:p w:rsidR="00E13F6E" w:rsidRPr="000071E5" w:rsidRDefault="00E13F6E" w:rsidP="00E13F6E">
      <w:pPr>
        <w:spacing w:after="120" w:line="360" w:lineRule="auto"/>
        <w:jc w:val="center"/>
        <w:rPr>
          <w:rFonts w:ascii="FrankRuehl" w:hAnsi="FrankRuehl" w:cs="FrankRuehl"/>
          <w:b/>
          <w:bCs/>
          <w:color w:val="002060"/>
          <w:sz w:val="26"/>
          <w:szCs w:val="26"/>
        </w:rPr>
      </w:pPr>
      <w:r w:rsidRPr="000071E5">
        <w:rPr>
          <w:rFonts w:ascii="FrankRuehl" w:hAnsi="FrankRuehl" w:cs="FrankRuehl" w:hint="cs"/>
          <w:b/>
          <w:bCs/>
          <w:color w:val="002060"/>
          <w:sz w:val="26"/>
          <w:szCs w:val="26"/>
          <w:rtl/>
        </w:rPr>
        <w:t xml:space="preserve">*** </w:t>
      </w:r>
      <w:r>
        <w:rPr>
          <w:rFonts w:ascii="FrankRuehl" w:hAnsi="FrankRuehl" w:cs="FrankRuehl"/>
          <w:b/>
          <w:bCs/>
          <w:color w:val="002060"/>
          <w:sz w:val="26"/>
          <w:szCs w:val="26"/>
          <w:rtl/>
        </w:rPr>
        <w:t xml:space="preserve">הנוסח המחייב הוא </w:t>
      </w:r>
      <w:r w:rsidRPr="000071E5">
        <w:rPr>
          <w:rFonts w:ascii="FrankRuehl" w:hAnsi="FrankRuehl" w:cs="FrankRuehl"/>
          <w:b/>
          <w:bCs/>
          <w:color w:val="002060"/>
          <w:sz w:val="26"/>
          <w:szCs w:val="26"/>
          <w:rtl/>
        </w:rPr>
        <w:t>של פסק</w:t>
      </w:r>
      <w:r>
        <w:rPr>
          <w:rFonts w:ascii="FrankRuehl" w:hAnsi="FrankRuehl" w:cs="FrankRuehl" w:hint="cs"/>
          <w:b/>
          <w:bCs/>
          <w:color w:val="002060"/>
          <w:sz w:val="26"/>
          <w:szCs w:val="26"/>
          <w:rtl/>
        </w:rPr>
        <w:t xml:space="preserve"> </w:t>
      </w:r>
      <w:r w:rsidRPr="000071E5">
        <w:rPr>
          <w:rFonts w:ascii="FrankRuehl" w:hAnsi="FrankRuehl" w:cs="FrankRuehl"/>
          <w:b/>
          <w:bCs/>
          <w:color w:val="002060"/>
          <w:sz w:val="26"/>
          <w:szCs w:val="26"/>
          <w:rtl/>
        </w:rPr>
        <w:t>הדין המלא</w:t>
      </w:r>
      <w:r w:rsidRPr="000071E5">
        <w:rPr>
          <w:rFonts w:ascii="FrankRuehl" w:hAnsi="FrankRuehl" w:cs="FrankRuehl" w:hint="cs"/>
          <w:b/>
          <w:bCs/>
          <w:color w:val="002060"/>
          <w:sz w:val="26"/>
          <w:szCs w:val="26"/>
          <w:rtl/>
        </w:rPr>
        <w:t xml:space="preserve"> ***</w:t>
      </w:r>
    </w:p>
    <w:p w:rsidR="00515986" w:rsidRPr="00E13F6E" w:rsidRDefault="00515986" w:rsidP="000C4D75">
      <w:pPr>
        <w:tabs>
          <w:tab w:val="num" w:pos="1080"/>
        </w:tabs>
        <w:spacing w:after="0" w:line="276" w:lineRule="auto"/>
        <w:jc w:val="both"/>
        <w:rPr>
          <w:rFonts w:ascii="Arial" w:eastAsia="Times New Roman" w:hAnsi="Arial" w:cs="David"/>
          <w:b/>
          <w:bCs/>
          <w:sz w:val="24"/>
          <w:szCs w:val="24"/>
          <w:rtl/>
        </w:rPr>
      </w:pPr>
    </w:p>
    <w:p w:rsidR="00515986" w:rsidRDefault="00515986" w:rsidP="000C4D75">
      <w:pPr>
        <w:tabs>
          <w:tab w:val="num" w:pos="1080"/>
        </w:tabs>
        <w:spacing w:after="0" w:line="276" w:lineRule="auto"/>
        <w:jc w:val="both"/>
        <w:rPr>
          <w:rFonts w:ascii="Arial" w:eastAsia="Times New Roman" w:hAnsi="Arial" w:cs="David"/>
          <w:b/>
          <w:bCs/>
          <w:sz w:val="24"/>
          <w:szCs w:val="24"/>
          <w:rtl/>
        </w:rPr>
      </w:pPr>
    </w:p>
    <w:p w:rsidR="002453CF" w:rsidRPr="007B7899" w:rsidRDefault="002453CF" w:rsidP="007B7899">
      <w:pPr>
        <w:spacing w:before="100" w:beforeAutospacing="1" w:after="100" w:afterAutospacing="1" w:line="240" w:lineRule="auto"/>
        <w:ind w:left="4320"/>
        <w:jc w:val="both"/>
        <w:rPr>
          <w:rFonts w:ascii="Times New Roman" w:eastAsia="Times New Roman" w:hAnsi="Times New Roman" w:cs="David"/>
          <w:b/>
          <w:bCs/>
          <w:color w:val="002060"/>
          <w:rtl/>
        </w:rPr>
      </w:pPr>
    </w:p>
    <w:sectPr w:rsidR="002453CF" w:rsidRPr="007B7899" w:rsidSect="00B16422">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48B" w:rsidRDefault="00C3148B" w:rsidP="00730CA1">
      <w:pPr>
        <w:spacing w:after="0" w:line="240" w:lineRule="auto"/>
      </w:pPr>
      <w:r>
        <w:separator/>
      </w:r>
    </w:p>
  </w:endnote>
  <w:endnote w:type="continuationSeparator" w:id="0">
    <w:p w:rsidR="00C3148B" w:rsidRDefault="00C3148B" w:rsidP="0073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David">
    <w:panose1 w:val="020E05020604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39C" w:rsidRPr="003A639C" w:rsidRDefault="003A639C" w:rsidP="003A639C">
    <w:pPr>
      <w:tabs>
        <w:tab w:val="center" w:pos="4153"/>
        <w:tab w:val="right" w:pos="8306"/>
      </w:tabs>
      <w:spacing w:after="0" w:line="240" w:lineRule="auto"/>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b/>
        <w:bCs/>
        <w:color w:val="000080"/>
        <w:spacing w:val="6"/>
        <w:sz w:val="24"/>
        <w:szCs w:val="24"/>
        <w:rtl/>
      </w:rPr>
      <w:t>________________________________________________________________</w:t>
    </w:r>
  </w:p>
  <w:p w:rsidR="003A639C" w:rsidRPr="003A639C" w:rsidRDefault="003A639C" w:rsidP="003A639C">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hint="cs"/>
        <w:b/>
        <w:bCs/>
        <w:color w:val="000080"/>
        <w:spacing w:val="6"/>
        <w:sz w:val="24"/>
        <w:szCs w:val="24"/>
        <w:rtl/>
      </w:rPr>
      <w:t xml:space="preserve">בית משפט העליון | דרך השופט מאיר שמגר 1 | </w:t>
    </w:r>
    <w:proofErr w:type="spellStart"/>
    <w:r w:rsidRPr="003A639C">
      <w:rPr>
        <w:rFonts w:ascii="Times New Roman" w:eastAsia="Times New Roman" w:hAnsi="Times New Roman" w:cs="FrankRuehl" w:hint="cs"/>
        <w:b/>
        <w:bCs/>
        <w:color w:val="000080"/>
        <w:spacing w:val="6"/>
        <w:sz w:val="24"/>
        <w:szCs w:val="24"/>
        <w:rtl/>
      </w:rPr>
      <w:t>קרית</w:t>
    </w:r>
    <w:proofErr w:type="spellEnd"/>
    <w:r w:rsidRPr="003A639C">
      <w:rPr>
        <w:rFonts w:ascii="Times New Roman" w:eastAsia="Times New Roman" w:hAnsi="Times New Roman" w:cs="FrankRuehl" w:hint="cs"/>
        <w:b/>
        <w:bCs/>
        <w:color w:val="000080"/>
        <w:spacing w:val="6"/>
        <w:sz w:val="24"/>
        <w:szCs w:val="24"/>
        <w:rtl/>
      </w:rPr>
      <w:t xml:space="preserve"> בן גוריון | ירושלים</w:t>
    </w:r>
  </w:p>
  <w:p w:rsidR="003C61AF" w:rsidRPr="003A639C" w:rsidRDefault="003A639C" w:rsidP="003A639C">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sidRPr="003A639C">
      <w:rPr>
        <w:rFonts w:ascii="Times New Roman" w:eastAsia="Times New Roman" w:hAnsi="Times New Roman" w:cs="FrankRuehl" w:hint="cs"/>
        <w:b/>
        <w:bCs/>
        <w:color w:val="000080"/>
        <w:spacing w:val="6"/>
        <w:sz w:val="24"/>
        <w:szCs w:val="24"/>
        <w:rtl/>
      </w:rPr>
      <w:t xml:space="preserve">טל: </w:t>
    </w:r>
    <w:r w:rsidRPr="003A639C">
      <w:rPr>
        <w:rFonts w:ascii="Times New Roman" w:eastAsia="Times New Roman" w:hAnsi="Times New Roman" w:cs="FrankRuehl"/>
        <w:b/>
        <w:bCs/>
        <w:color w:val="000080"/>
        <w:spacing w:val="6"/>
        <w:sz w:val="24"/>
        <w:szCs w:val="24"/>
      </w:rPr>
      <w:t>074-7480412</w:t>
    </w:r>
    <w:r w:rsidRPr="003A639C">
      <w:rPr>
        <w:rFonts w:ascii="Times New Roman" w:eastAsia="Times New Roman" w:hAnsi="Times New Roman" w:cs="FrankRuehl" w:hint="cs"/>
        <w:b/>
        <w:bCs/>
        <w:color w:val="000080"/>
        <w:spacing w:val="6"/>
        <w:sz w:val="24"/>
        <w:szCs w:val="24"/>
        <w:rtl/>
      </w:rPr>
      <w:t xml:space="preserve">                       דוא"ל</w:t>
    </w:r>
    <w:r w:rsidRPr="003A639C">
      <w:rPr>
        <w:rFonts w:ascii="Times New Roman" w:eastAsia="Times New Roman" w:hAnsi="Times New Roman" w:cs="FrankRuehl"/>
        <w:b/>
        <w:bCs/>
        <w:color w:val="000080"/>
        <w:spacing w:val="6"/>
        <w:sz w:val="24"/>
        <w:szCs w:val="24"/>
      </w:rPr>
      <w:t>:</w:t>
    </w:r>
    <w:r w:rsidRPr="003A639C">
      <w:rPr>
        <w:rFonts w:ascii="Times New Roman" w:eastAsia="Times New Roman" w:hAnsi="Times New Roman" w:cs="FrankRuehl" w:hint="cs"/>
        <w:b/>
        <w:bCs/>
        <w:color w:val="000080"/>
        <w:spacing w:val="6"/>
        <w:sz w:val="24"/>
        <w:szCs w:val="24"/>
        <w:rtl/>
      </w:rPr>
      <w:t xml:space="preserve">  </w:t>
    </w:r>
    <w:hyperlink r:id="rId1" w:history="1">
      <w:r w:rsidRPr="003A639C">
        <w:rPr>
          <w:rFonts w:ascii="Times New Roman" w:eastAsia="Times New Roman" w:hAnsi="Times New Roman" w:cs="FrankRuehl"/>
          <w:b/>
          <w:bCs/>
          <w:color w:val="0000FF"/>
          <w:spacing w:val="6"/>
          <w:sz w:val="24"/>
          <w:szCs w:val="24"/>
          <w:u w:val="single"/>
        </w:rPr>
        <w:t>Dover@court.gov.il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48B" w:rsidRDefault="00C3148B" w:rsidP="00730CA1">
      <w:pPr>
        <w:spacing w:after="0" w:line="240" w:lineRule="auto"/>
      </w:pPr>
      <w:r>
        <w:separator/>
      </w:r>
    </w:p>
  </w:footnote>
  <w:footnote w:type="continuationSeparator" w:id="0">
    <w:p w:rsidR="00C3148B" w:rsidRDefault="00C3148B" w:rsidP="00730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David"/>
        <w:sz w:val="20"/>
        <w:szCs w:val="24"/>
        <w:lang w:eastAsia="he-IL"/>
      </w:rPr>
    </w:pPr>
    <w:r w:rsidRPr="005253B2">
      <w:rPr>
        <w:rFonts w:ascii="Times New Roman" w:eastAsia="Times New Roman" w:hAnsi="Times New Roman" w:cs="David"/>
        <w:noProof/>
        <w:sz w:val="20"/>
        <w:szCs w:val="24"/>
      </w:rPr>
      <w:drawing>
        <wp:inline distT="0" distB="0" distL="0" distR="0">
          <wp:extent cx="523875" cy="619125"/>
          <wp:effectExtent l="0" t="0" r="9525" b="9525"/>
          <wp:docPr id="1" name="תמונה 2" descr="תיאור: 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תיאור: se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r w:rsidRPr="005253B2">
      <w:rPr>
        <w:rFonts w:ascii="Century" w:eastAsia="Times New Roman" w:hAnsi="Century" w:cs="FrankRuehl" w:hint="cs"/>
        <w:noProof/>
        <w:spacing w:val="10"/>
        <w:sz w:val="20"/>
        <w:szCs w:val="28"/>
        <w:rtl/>
        <w:lang w:eastAsia="he-IL"/>
      </w:rPr>
      <w:t xml:space="preserve">                                            </w:t>
    </w:r>
  </w:p>
  <w:p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8"/>
        <w:szCs w:val="28"/>
        <w:rtl/>
        <w:lang w:eastAsia="he-IL"/>
      </w:rPr>
    </w:pPr>
    <w:r w:rsidRPr="005253B2">
      <w:rPr>
        <w:rFonts w:ascii="Times New Roman" w:eastAsia="Times New Roman" w:hAnsi="Times New Roman" w:cs="FrankRuehl" w:hint="cs"/>
        <w:b/>
        <w:bCs/>
        <w:color w:val="000080"/>
        <w:spacing w:val="6"/>
        <w:sz w:val="28"/>
        <w:szCs w:val="28"/>
        <w:rtl/>
        <w:lang w:eastAsia="he-IL"/>
      </w:rPr>
      <w:t>מערכת בתי המשפט</w:t>
    </w:r>
  </w:p>
  <w:p w:rsidR="007007D7"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8"/>
        <w:szCs w:val="28"/>
        <w:lang w:eastAsia="he-IL"/>
      </w:rPr>
    </w:pPr>
    <w:r w:rsidRPr="005253B2">
      <w:rPr>
        <w:rFonts w:ascii="Times New Roman" w:eastAsia="Times New Roman" w:hAnsi="Times New Roman" w:cs="FrankRuehl" w:hint="cs"/>
        <w:b/>
        <w:bCs/>
        <w:color w:val="000080"/>
        <w:spacing w:val="6"/>
        <w:sz w:val="28"/>
        <w:szCs w:val="28"/>
        <w:rtl/>
        <w:lang w:eastAsia="he-IL"/>
      </w:rPr>
      <w:t>דוברות והסברה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B27"/>
    <w:multiLevelType w:val="multilevel"/>
    <w:tmpl w:val="2EA02F4A"/>
    <w:lvl w:ilvl="0">
      <w:start w:val="1"/>
      <w:numFmt w:val="decimal"/>
      <w:lvlText w:val="%1."/>
      <w:lvlJc w:val="left"/>
      <w:pPr>
        <w:tabs>
          <w:tab w:val="num" w:pos="454"/>
        </w:tabs>
        <w:ind w:left="454" w:hanging="454"/>
      </w:pPr>
      <w:rPr>
        <w:rFonts w:hint="default"/>
        <w:bCs w:val="0"/>
        <w:iCs w:val="0"/>
        <w:szCs w:val="24"/>
      </w:rPr>
    </w:lvl>
    <w:lvl w:ilvl="1">
      <w:start w:val="1"/>
      <w:numFmt w:val="hebrew1"/>
      <w:lvlText w:val="%2."/>
      <w:lvlJc w:val="left"/>
      <w:pPr>
        <w:tabs>
          <w:tab w:val="num" w:pos="907"/>
        </w:tabs>
        <w:ind w:left="908" w:hanging="454"/>
      </w:pPr>
      <w:rPr>
        <w:rFonts w:cs="David" w:hint="cs"/>
        <w:bCs w:val="0"/>
        <w:iCs w:val="0"/>
        <w:szCs w:val="26"/>
      </w:rPr>
    </w:lvl>
    <w:lvl w:ilvl="2">
      <w:start w:val="1"/>
      <w:numFmt w:val="decimal"/>
      <w:lvlText w:val="(%3)"/>
      <w:lvlJc w:val="left"/>
      <w:pPr>
        <w:tabs>
          <w:tab w:val="num" w:pos="1361"/>
        </w:tabs>
        <w:ind w:left="1362" w:hanging="454"/>
      </w:pPr>
      <w:rPr>
        <w:rFonts w:ascii="Times New Roman" w:hAnsi="Times New Roman" w:cs="David" w:hint="default"/>
        <w:b w:val="0"/>
        <w:bCs w:val="0"/>
        <w:i w:val="0"/>
        <w:iCs w:val="0"/>
        <w:sz w:val="24"/>
        <w:szCs w:val="24"/>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 w15:restartNumberingAfterBreak="0">
    <w:nsid w:val="08A6001B"/>
    <w:multiLevelType w:val="hybridMultilevel"/>
    <w:tmpl w:val="B1AA711A"/>
    <w:lvl w:ilvl="0" w:tplc="88581116">
      <w:start w:val="1"/>
      <w:numFmt w:val="decimal"/>
      <w:pStyle w:val="Ruller4"/>
      <w:lvlText w:val="%1."/>
      <w:lvlJc w:val="left"/>
      <w:pPr>
        <w:tabs>
          <w:tab w:val="num" w:pos="907"/>
        </w:tabs>
        <w:ind w:left="0" w:firstLine="0"/>
      </w:pPr>
      <w:rPr>
        <w:rFonts w:ascii="Century" w:hAnsi="Century" w:cs="FrankRuehl" w:hint="default"/>
        <w:b w:val="0"/>
        <w:bCs w:val="0"/>
        <w:i w:val="0"/>
        <w:iCs w:val="0"/>
        <w:caps w:val="0"/>
        <w:smallCaps w:val="0"/>
        <w:strike w:val="0"/>
        <w:dstrike w:val="0"/>
        <w:outline w:val="0"/>
        <w:shadow w:val="0"/>
        <w:emboss w:val="0"/>
        <w:imprint w:val="0"/>
        <w:vanish w:val="0"/>
        <w:color w:val="auto"/>
        <w:spacing w:val="10"/>
        <w:w w:val="100"/>
        <w:kern w:val="0"/>
        <w:position w:val="0"/>
        <w:sz w:val="22"/>
        <w:szCs w:val="28"/>
        <w:u w:val="none"/>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CF"/>
    <w:rsid w:val="000011AE"/>
    <w:rsid w:val="00025761"/>
    <w:rsid w:val="000C4D75"/>
    <w:rsid w:val="001C1BA1"/>
    <w:rsid w:val="001D42A7"/>
    <w:rsid w:val="002453CF"/>
    <w:rsid w:val="00252C62"/>
    <w:rsid w:val="00295EA0"/>
    <w:rsid w:val="002C0E83"/>
    <w:rsid w:val="00353457"/>
    <w:rsid w:val="003921C3"/>
    <w:rsid w:val="003A001E"/>
    <w:rsid w:val="003A639C"/>
    <w:rsid w:val="003C61AF"/>
    <w:rsid w:val="003E6E39"/>
    <w:rsid w:val="003E7EB7"/>
    <w:rsid w:val="00426AA7"/>
    <w:rsid w:val="004859F6"/>
    <w:rsid w:val="00515986"/>
    <w:rsid w:val="005253B2"/>
    <w:rsid w:val="00541C9E"/>
    <w:rsid w:val="00631744"/>
    <w:rsid w:val="00690B6F"/>
    <w:rsid w:val="006A2A45"/>
    <w:rsid w:val="006B7B96"/>
    <w:rsid w:val="006C3B1F"/>
    <w:rsid w:val="006E65D9"/>
    <w:rsid w:val="006F1E1F"/>
    <w:rsid w:val="007007D7"/>
    <w:rsid w:val="00711675"/>
    <w:rsid w:val="00730CA1"/>
    <w:rsid w:val="007B7899"/>
    <w:rsid w:val="00832AD7"/>
    <w:rsid w:val="008C02E0"/>
    <w:rsid w:val="00983123"/>
    <w:rsid w:val="009E5C0E"/>
    <w:rsid w:val="00AD7644"/>
    <w:rsid w:val="00B16422"/>
    <w:rsid w:val="00B22AFC"/>
    <w:rsid w:val="00BA3143"/>
    <w:rsid w:val="00C22E08"/>
    <w:rsid w:val="00C3148B"/>
    <w:rsid w:val="00C37F37"/>
    <w:rsid w:val="00C50C55"/>
    <w:rsid w:val="00C529CC"/>
    <w:rsid w:val="00C842A7"/>
    <w:rsid w:val="00C85A27"/>
    <w:rsid w:val="00CA2D6A"/>
    <w:rsid w:val="00CB4940"/>
    <w:rsid w:val="00CD280B"/>
    <w:rsid w:val="00CE1F7D"/>
    <w:rsid w:val="00D11F77"/>
    <w:rsid w:val="00D205AB"/>
    <w:rsid w:val="00D43C0E"/>
    <w:rsid w:val="00D5319F"/>
    <w:rsid w:val="00E13F6E"/>
    <w:rsid w:val="00E35DF3"/>
    <w:rsid w:val="00EA6DF3"/>
    <w:rsid w:val="00EB6609"/>
    <w:rsid w:val="00F46250"/>
    <w:rsid w:val="00FF55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C44D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AA7"/>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426AA7"/>
    <w:rPr>
      <w:rFonts w:ascii="Tahoma" w:hAnsi="Tahoma" w:cs="Tahoma"/>
      <w:sz w:val="18"/>
      <w:szCs w:val="18"/>
    </w:rPr>
  </w:style>
  <w:style w:type="character" w:styleId="Hyperlink">
    <w:name w:val="Hyperlink"/>
    <w:basedOn w:val="a0"/>
    <w:uiPriority w:val="99"/>
    <w:unhideWhenUsed/>
    <w:rsid w:val="00E35DF3"/>
    <w:rPr>
      <w:color w:val="0563C1" w:themeColor="hyperlink"/>
      <w:u w:val="single"/>
    </w:rPr>
  </w:style>
  <w:style w:type="paragraph" w:styleId="a5">
    <w:name w:val="header"/>
    <w:basedOn w:val="a"/>
    <w:link w:val="a6"/>
    <w:uiPriority w:val="99"/>
    <w:unhideWhenUsed/>
    <w:rsid w:val="00730CA1"/>
    <w:pPr>
      <w:tabs>
        <w:tab w:val="center" w:pos="4153"/>
        <w:tab w:val="right" w:pos="8306"/>
      </w:tabs>
      <w:spacing w:after="0" w:line="240" w:lineRule="auto"/>
    </w:pPr>
  </w:style>
  <w:style w:type="character" w:customStyle="1" w:styleId="a6">
    <w:name w:val="כותרת עליונה תו"/>
    <w:basedOn w:val="a0"/>
    <w:link w:val="a5"/>
    <w:uiPriority w:val="99"/>
    <w:rsid w:val="00730CA1"/>
  </w:style>
  <w:style w:type="paragraph" w:styleId="a7">
    <w:name w:val="footer"/>
    <w:basedOn w:val="a"/>
    <w:link w:val="a8"/>
    <w:uiPriority w:val="99"/>
    <w:unhideWhenUsed/>
    <w:rsid w:val="00730CA1"/>
    <w:pPr>
      <w:tabs>
        <w:tab w:val="center" w:pos="4153"/>
        <w:tab w:val="right" w:pos="8306"/>
      </w:tabs>
      <w:spacing w:after="0" w:line="240" w:lineRule="auto"/>
    </w:pPr>
  </w:style>
  <w:style w:type="character" w:customStyle="1" w:styleId="a8">
    <w:name w:val="כותרת תחתונה תו"/>
    <w:basedOn w:val="a0"/>
    <w:link w:val="a7"/>
    <w:uiPriority w:val="99"/>
    <w:rsid w:val="00730CA1"/>
  </w:style>
  <w:style w:type="paragraph" w:customStyle="1" w:styleId="Ruller40">
    <w:name w:val="Ruller4"/>
    <w:basedOn w:val="a"/>
    <w:rsid w:val="00252C62"/>
    <w:pPr>
      <w:tabs>
        <w:tab w:val="left" w:pos="800"/>
      </w:tabs>
      <w:overflowPunct w:val="0"/>
      <w:autoSpaceDE w:val="0"/>
      <w:autoSpaceDN w:val="0"/>
      <w:adjustRightInd w:val="0"/>
      <w:spacing w:after="0" w:line="360" w:lineRule="auto"/>
      <w:jc w:val="both"/>
      <w:textAlignment w:val="baseline"/>
    </w:pPr>
    <w:rPr>
      <w:rFonts w:ascii="Arial TUR" w:eastAsia="Times New Roman" w:hAnsi="Arial TUR" w:cs="FrankRuehl"/>
      <w:spacing w:val="10"/>
      <w:szCs w:val="28"/>
    </w:rPr>
  </w:style>
  <w:style w:type="paragraph" w:customStyle="1" w:styleId="Ruller4">
    <w:name w:val="Ruller 4 ממוספר"/>
    <w:basedOn w:val="Ruller40"/>
    <w:next w:val="Ruller40"/>
    <w:rsid w:val="00252C62"/>
    <w:pPr>
      <w:numPr>
        <w:numId w:val="3"/>
      </w:numPr>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39060">
      <w:bodyDiv w:val="1"/>
      <w:marLeft w:val="0"/>
      <w:marRight w:val="0"/>
      <w:marTop w:val="0"/>
      <w:marBottom w:val="0"/>
      <w:divBdr>
        <w:top w:val="none" w:sz="0" w:space="0" w:color="auto"/>
        <w:left w:val="none" w:sz="0" w:space="0" w:color="auto"/>
        <w:bottom w:val="none" w:sz="0" w:space="0" w:color="auto"/>
        <w:right w:val="none" w:sz="0" w:space="0" w:color="auto"/>
      </w:divBdr>
    </w:div>
    <w:div w:id="1171139320">
      <w:bodyDiv w:val="1"/>
      <w:marLeft w:val="0"/>
      <w:marRight w:val="0"/>
      <w:marTop w:val="0"/>
      <w:marBottom w:val="0"/>
      <w:divBdr>
        <w:top w:val="none" w:sz="0" w:space="0" w:color="auto"/>
        <w:left w:val="none" w:sz="0" w:space="0" w:color="auto"/>
        <w:bottom w:val="none" w:sz="0" w:space="0" w:color="auto"/>
        <w:right w:val="none" w:sz="0" w:space="0" w:color="auto"/>
      </w:divBdr>
    </w:div>
    <w:div w:id="1552304460">
      <w:bodyDiv w:val="1"/>
      <w:marLeft w:val="0"/>
      <w:marRight w:val="0"/>
      <w:marTop w:val="0"/>
      <w:marBottom w:val="0"/>
      <w:divBdr>
        <w:top w:val="none" w:sz="0" w:space="0" w:color="auto"/>
        <w:left w:val="none" w:sz="0" w:space="0" w:color="auto"/>
        <w:bottom w:val="none" w:sz="0" w:space="0" w:color="auto"/>
        <w:right w:val="none" w:sz="0" w:space="0" w:color="auto"/>
      </w:divBdr>
    </w:div>
    <w:div w:id="206425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over@court.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SixthEditionOfficeOnline.xsl"/>
</file>

<file path=customXml/itemProps1.xml><?xml version="1.0" encoding="utf-8"?>
<ds:datastoreItem xmlns:ds="http://schemas.openxmlformats.org/officeDocument/2006/customXml" ds:itemID="{FCFDA0B9-187C-46B5-8DCB-AF265456D21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3285</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2025-09-15T07:46:00Z</dcterms:created>
  <dcterms:modified xsi:type="dcterms:W3CDTF">2025-09-15T12:13:00Z</dcterms:modified>
</cp:coreProperties>
</file>