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22" w:rsidRPr="00832AD7" w:rsidRDefault="002453CF" w:rsidP="00832AD7">
      <w:pPr>
        <w:spacing w:after="0" w:line="240" w:lineRule="auto"/>
        <w:rPr>
          <w:rFonts w:cs="David"/>
          <w:b/>
          <w:bCs/>
          <w:sz w:val="16"/>
          <w:szCs w:val="16"/>
          <w:rtl/>
        </w:rPr>
      </w:pPr>
      <w:r w:rsidRPr="006C3B1F">
        <w:rPr>
          <w:rFonts w:cs="David" w:hint="cs"/>
          <w:b/>
          <w:bCs/>
          <w:sz w:val="24"/>
          <w:szCs w:val="24"/>
          <w:rtl/>
        </w:rPr>
        <w:t xml:space="preserve">                                 </w:t>
      </w:r>
      <w:r w:rsidR="006B7B96" w:rsidRPr="006C3B1F">
        <w:rPr>
          <w:rFonts w:cs="David" w:hint="cs"/>
          <w:b/>
          <w:bCs/>
          <w:sz w:val="24"/>
          <w:szCs w:val="24"/>
          <w:rtl/>
        </w:rPr>
        <w:t xml:space="preserve">           </w:t>
      </w:r>
      <w:r w:rsidR="00631744">
        <w:rPr>
          <w:rFonts w:cs="David" w:hint="cs"/>
          <w:b/>
          <w:bCs/>
          <w:sz w:val="24"/>
          <w:szCs w:val="24"/>
          <w:rtl/>
        </w:rPr>
        <w:t xml:space="preserve">           </w:t>
      </w:r>
      <w:r w:rsidR="006C3B1F">
        <w:rPr>
          <w:rFonts w:cs="David" w:hint="cs"/>
          <w:b/>
          <w:bCs/>
          <w:sz w:val="24"/>
          <w:szCs w:val="24"/>
          <w:rtl/>
        </w:rPr>
        <w:t xml:space="preserve">   </w:t>
      </w:r>
      <w:r w:rsidRPr="006C3B1F">
        <w:rPr>
          <w:rFonts w:cs="David" w:hint="cs"/>
          <w:b/>
          <w:bCs/>
          <w:sz w:val="24"/>
          <w:szCs w:val="24"/>
          <w:rtl/>
        </w:rPr>
        <w:t xml:space="preserve">  </w:t>
      </w:r>
      <w:r w:rsidR="001D42A7">
        <w:rPr>
          <w:rFonts w:hint="cs"/>
          <w:b/>
          <w:bCs/>
          <w:rtl/>
        </w:rPr>
        <w:t xml:space="preserve">  </w:t>
      </w:r>
    </w:p>
    <w:p w:rsidR="00983123" w:rsidRPr="00832AD7" w:rsidRDefault="00983123" w:rsidP="00832AD7">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07 בספטמבר 2025</w:t>
      </w:r>
      <w:r w:rsidRPr="00832AD7">
        <w:rPr>
          <w:rFonts w:ascii="Times New Roman" w:eastAsia="Times New Roman" w:hAnsi="Times New Roman" w:cs="David" w:hint="cs"/>
          <w:sz w:val="16"/>
          <w:szCs w:val="16"/>
          <w:rtl/>
        </w:rPr>
        <w:fldChar w:fldCharType="end"/>
      </w:r>
    </w:p>
    <w:p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י"ד באלול תשפ"ה</w:t>
      </w:r>
      <w:r w:rsidRPr="00832AD7">
        <w:rPr>
          <w:rFonts w:ascii="Times New Roman" w:eastAsia="Times New Roman" w:hAnsi="Times New Roman" w:cs="David" w:hint="cs"/>
          <w:sz w:val="16"/>
          <w:szCs w:val="16"/>
          <w:rtl/>
        </w:rPr>
        <w:fldChar w:fldCharType="end"/>
      </w:r>
    </w:p>
    <w:p w:rsidR="00983123"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4700-1039-2025-006012</w:t>
      </w:r>
      <w:r w:rsidRPr="00832AD7">
        <w:rPr>
          <w:rFonts w:ascii="Times New Roman" w:eastAsia="Times New Roman" w:hAnsi="Times New Roman" w:cs="David" w:hint="cs"/>
          <w:sz w:val="16"/>
          <w:szCs w:val="16"/>
          <w:rtl/>
        </w:rPr>
        <w:fldChar w:fldCharType="end"/>
      </w:r>
    </w:p>
    <w:p w:rsidR="00AD019E" w:rsidRPr="00983123" w:rsidRDefault="00AD019E" w:rsidP="00832AD7">
      <w:pPr>
        <w:spacing w:after="0" w:line="240" w:lineRule="auto"/>
        <w:jc w:val="right"/>
        <w:rPr>
          <w:rFonts w:ascii="Times New Roman" w:eastAsia="Times New Roman" w:hAnsi="Times New Roman" w:cs="David"/>
          <w:sz w:val="24"/>
          <w:szCs w:val="24"/>
          <w:rtl/>
        </w:rPr>
      </w:pPr>
    </w:p>
    <w:p w:rsidR="00E13F6E" w:rsidRPr="00AD019E" w:rsidRDefault="00E13F6E" w:rsidP="00AD019E">
      <w:pPr>
        <w:spacing w:after="120" w:line="360" w:lineRule="auto"/>
        <w:jc w:val="center"/>
        <w:rPr>
          <w:rFonts w:ascii="FrankRuehl" w:hAnsi="FrankRuehl" w:cs="FrankRuehl"/>
          <w:b/>
          <w:bCs/>
          <w:color w:val="002060"/>
          <w:sz w:val="32"/>
          <w:szCs w:val="32"/>
          <w:u w:val="single"/>
          <w:rtl/>
        </w:rPr>
      </w:pPr>
      <w:r w:rsidRPr="000071E5">
        <w:rPr>
          <w:rFonts w:ascii="FrankRuehl" w:hAnsi="FrankRuehl" w:cs="FrankRuehl"/>
          <w:b/>
          <w:bCs/>
          <w:color w:val="002060"/>
          <w:sz w:val="32"/>
          <w:szCs w:val="32"/>
          <w:u w:val="single"/>
          <w:rtl/>
        </w:rPr>
        <w:t xml:space="preserve">תקציר </w:t>
      </w:r>
      <w:r w:rsidR="00AD019E" w:rsidRPr="00AD019E">
        <w:rPr>
          <w:rFonts w:ascii="FrankRuehl" w:hAnsi="FrankRuehl" w:cs="FrankRuehl"/>
          <w:b/>
          <w:bCs/>
          <w:color w:val="002060"/>
          <w:sz w:val="32"/>
          <w:szCs w:val="32"/>
          <w:u w:val="single"/>
          <w:rtl/>
        </w:rPr>
        <w:t>בג"ץ 2858-24 האגודה לזכויות האזרח בישראל נ' השר לביטחון לאומי</w:t>
      </w:r>
      <w:bookmarkStart w:id="0" w:name="_GoBack"/>
      <w:bookmarkEnd w:id="0"/>
      <w:r w:rsidRPr="00AD019E">
        <w:rPr>
          <w:rFonts w:ascii="FrankRuehl" w:hAnsi="FrankRuehl" w:cs="FrankRuehl" w:hint="cs"/>
          <w:b/>
          <w:bCs/>
          <w:color w:val="002060"/>
          <w:sz w:val="32"/>
          <w:szCs w:val="32"/>
          <w:u w:val="single"/>
          <w:rtl/>
        </w:rPr>
        <w:t xml:space="preserve"> </w:t>
      </w:r>
    </w:p>
    <w:p w:rsidR="00E13F6E" w:rsidRPr="000071E5" w:rsidRDefault="00AD019E" w:rsidP="00E13F6E">
      <w:pPr>
        <w:spacing w:after="120"/>
        <w:jc w:val="center"/>
        <w:rPr>
          <w:rFonts w:ascii="FrankRuehl" w:hAnsi="FrankRuehl" w:cs="FrankRuehl"/>
          <w:b/>
          <w:bCs/>
          <w:color w:val="002060"/>
          <w:sz w:val="32"/>
          <w:szCs w:val="32"/>
          <w:rtl/>
        </w:rPr>
      </w:pPr>
      <w:r>
        <w:rPr>
          <w:rFonts w:ascii="FrankRuehl" w:hAnsi="FrankRuehl" w:cs="FrankRuehl" w:hint="cs"/>
          <w:b/>
          <w:bCs/>
          <w:color w:val="002060"/>
          <w:sz w:val="32"/>
          <w:szCs w:val="32"/>
          <w:u w:val="single"/>
          <w:rtl/>
        </w:rPr>
        <w:t>חברי ההרכב:</w:t>
      </w:r>
      <w:r w:rsidRPr="00AD019E">
        <w:rPr>
          <w:rFonts w:ascii="FrankRuehl" w:hAnsi="FrankRuehl" w:cs="FrankRuehl" w:hint="cs"/>
          <w:b/>
          <w:bCs/>
          <w:color w:val="002060"/>
          <w:sz w:val="32"/>
          <w:szCs w:val="32"/>
          <w:u w:val="single"/>
          <w:rtl/>
        </w:rPr>
        <w:t xml:space="preserve"> </w:t>
      </w:r>
      <w:r w:rsidRPr="00AD019E">
        <w:rPr>
          <w:rFonts w:ascii="FrankRuehl" w:hAnsi="FrankRuehl" w:cs="FrankRuehl"/>
          <w:b/>
          <w:bCs/>
          <w:color w:val="002060"/>
          <w:sz w:val="32"/>
          <w:szCs w:val="32"/>
          <w:u w:val="single"/>
          <w:rtl/>
        </w:rPr>
        <w:t>השופטת דפנה ברק-ארז, השופט דוד מינץ, השופט עופר גרוסקופף</w:t>
      </w:r>
    </w:p>
    <w:p w:rsidR="00AD019E" w:rsidRDefault="00AD019E" w:rsidP="00AD019E">
      <w:pPr>
        <w:pStyle w:val="Ruller4"/>
        <w:rPr>
          <w:rFonts w:ascii="Century" w:hAnsi="Century"/>
          <w:b/>
          <w:bCs/>
          <w:rtl/>
        </w:rPr>
      </w:pPr>
    </w:p>
    <w:p w:rsidR="00AD019E" w:rsidRDefault="00AD019E" w:rsidP="00AD019E">
      <w:pPr>
        <w:pStyle w:val="Ruller4"/>
        <w:rPr>
          <w:rFonts w:ascii="Century" w:hAnsi="Century"/>
          <w:b/>
          <w:bCs/>
          <w:rtl/>
        </w:rPr>
      </w:pPr>
      <w:r>
        <w:rPr>
          <w:rFonts w:ascii="Century" w:hAnsi="Century" w:hint="cs"/>
          <w:b/>
          <w:bCs/>
          <w:rtl/>
        </w:rPr>
        <w:t>פסק הדין עוסק בחובה לעמוד בדרישות החוק ביחס להספקת מזון ברמה בסיסית לכלל האסירים הביטחוניים המוחזקים בבתי הסוהר בישראל (לרבות אזרחי המדינה ותושביה).</w:t>
      </w:r>
    </w:p>
    <w:p w:rsidR="00AD019E" w:rsidRDefault="00AD019E" w:rsidP="00AD019E">
      <w:pPr>
        <w:pStyle w:val="Ruller4"/>
        <w:rPr>
          <w:rFonts w:ascii="Century" w:hAnsi="Century"/>
          <w:b/>
          <w:bCs/>
          <w:rtl/>
        </w:rPr>
      </w:pPr>
    </w:p>
    <w:p w:rsidR="00AD019E" w:rsidRDefault="00AD019E" w:rsidP="00AD019E">
      <w:pPr>
        <w:pStyle w:val="Ruller4"/>
        <w:rPr>
          <w:rFonts w:ascii="Century" w:hAnsi="Century"/>
          <w:rtl/>
        </w:rPr>
      </w:pPr>
      <w:r>
        <w:rPr>
          <w:rFonts w:ascii="Century" w:hAnsi="Century" w:hint="cs"/>
          <w:b/>
          <w:bCs/>
          <w:rtl/>
        </w:rPr>
        <w:t>בית המשפט העליון בשבתו כבג"ץ פסק פה אחד כי שירות בתי הסוהר מחויב על-פי חוק לספק לאסירים הביטחוניים תנאי קיום בסיסיים, ובכלל זה מזון בכמות ובהרכב המתאימים לשמירה על בריאותם. עוד נקבע, בהסכמת כלל השופטים, כי יש להבטיח את גישתו של כל אסיר ואסיר למזון בהתאם לתפריט שנקבע.</w:t>
      </w:r>
      <w:r>
        <w:rPr>
          <w:rFonts w:ascii="Century" w:hAnsi="Century" w:hint="cs"/>
          <w:rtl/>
        </w:rPr>
        <w:t xml:space="preserve"> </w:t>
      </w:r>
    </w:p>
    <w:p w:rsidR="00AD019E" w:rsidRPr="008841D7" w:rsidRDefault="00AD019E" w:rsidP="00AD019E">
      <w:pPr>
        <w:pStyle w:val="Ruller4"/>
        <w:rPr>
          <w:rFonts w:ascii="Century" w:hAnsi="Century"/>
          <w:b/>
          <w:bCs/>
          <w:rtl/>
        </w:rPr>
      </w:pPr>
      <w:r w:rsidRPr="008841D7">
        <w:rPr>
          <w:rFonts w:ascii="Century" w:hAnsi="Century" w:hint="eastAsia"/>
          <w:b/>
          <w:bCs/>
          <w:rtl/>
        </w:rPr>
        <w:t>לצד</w:t>
      </w:r>
      <w:r w:rsidRPr="008841D7">
        <w:rPr>
          <w:rFonts w:ascii="Century" w:hAnsi="Century"/>
          <w:b/>
          <w:bCs/>
          <w:rtl/>
        </w:rPr>
        <w:t xml:space="preserve"> </w:t>
      </w:r>
      <w:r w:rsidRPr="008841D7">
        <w:rPr>
          <w:rFonts w:ascii="Century" w:hAnsi="Century" w:hint="eastAsia"/>
          <w:b/>
          <w:bCs/>
          <w:rtl/>
        </w:rPr>
        <w:t>זאת</w:t>
      </w:r>
      <w:r w:rsidRPr="008841D7">
        <w:rPr>
          <w:rFonts w:ascii="Century" w:hAnsi="Century"/>
          <w:b/>
          <w:bCs/>
          <w:rtl/>
        </w:rPr>
        <w:t xml:space="preserve">, </w:t>
      </w:r>
      <w:r w:rsidRPr="008841D7">
        <w:rPr>
          <w:rFonts w:ascii="Century" w:hAnsi="Century" w:hint="eastAsia"/>
          <w:b/>
          <w:bCs/>
          <w:rtl/>
        </w:rPr>
        <w:t>נחלקו</w:t>
      </w:r>
      <w:r w:rsidRPr="008841D7">
        <w:rPr>
          <w:rFonts w:ascii="Century" w:hAnsi="Century"/>
          <w:b/>
          <w:bCs/>
          <w:rtl/>
        </w:rPr>
        <w:t xml:space="preserve"> </w:t>
      </w:r>
      <w:r w:rsidRPr="008841D7">
        <w:rPr>
          <w:rFonts w:ascii="Century" w:hAnsi="Century" w:hint="eastAsia"/>
          <w:b/>
          <w:bCs/>
          <w:rtl/>
        </w:rPr>
        <w:t>הדעות</w:t>
      </w:r>
      <w:r w:rsidRPr="008841D7">
        <w:rPr>
          <w:rFonts w:ascii="Century" w:hAnsi="Century"/>
          <w:b/>
          <w:bCs/>
          <w:rtl/>
        </w:rPr>
        <w:t xml:space="preserve"> </w:t>
      </w:r>
      <w:r w:rsidRPr="008841D7">
        <w:rPr>
          <w:rFonts w:ascii="Century" w:hAnsi="Century" w:hint="eastAsia"/>
          <w:b/>
          <w:bCs/>
          <w:rtl/>
        </w:rPr>
        <w:t>ביחס</w:t>
      </w:r>
      <w:r w:rsidRPr="008841D7">
        <w:rPr>
          <w:rFonts w:ascii="Century" w:hAnsi="Century"/>
          <w:b/>
          <w:bCs/>
          <w:rtl/>
        </w:rPr>
        <w:t xml:space="preserve"> </w:t>
      </w:r>
      <w:r w:rsidRPr="008841D7">
        <w:rPr>
          <w:rFonts w:ascii="Century" w:hAnsi="Century" w:hint="eastAsia"/>
          <w:b/>
          <w:bCs/>
          <w:rtl/>
        </w:rPr>
        <w:t>ליישומם</w:t>
      </w:r>
      <w:r w:rsidRPr="008841D7">
        <w:rPr>
          <w:rFonts w:ascii="Century" w:hAnsi="Century"/>
          <w:b/>
          <w:bCs/>
          <w:rtl/>
        </w:rPr>
        <w:t xml:space="preserve"> </w:t>
      </w:r>
      <w:r w:rsidRPr="008841D7">
        <w:rPr>
          <w:rFonts w:ascii="Century" w:hAnsi="Century" w:hint="eastAsia"/>
          <w:b/>
          <w:bCs/>
          <w:rtl/>
        </w:rPr>
        <w:t>של</w:t>
      </w:r>
      <w:r w:rsidRPr="008841D7">
        <w:rPr>
          <w:rFonts w:ascii="Century" w:hAnsi="Century"/>
          <w:b/>
          <w:bCs/>
          <w:rtl/>
        </w:rPr>
        <w:t xml:space="preserve"> </w:t>
      </w:r>
      <w:r w:rsidRPr="008841D7">
        <w:rPr>
          <w:rFonts w:ascii="Century" w:hAnsi="Century" w:hint="eastAsia"/>
          <w:b/>
          <w:bCs/>
          <w:rtl/>
        </w:rPr>
        <w:t>עקרונות</w:t>
      </w:r>
      <w:r w:rsidRPr="008841D7">
        <w:rPr>
          <w:rFonts w:ascii="Century" w:hAnsi="Century"/>
          <w:b/>
          <w:bCs/>
          <w:rtl/>
        </w:rPr>
        <w:t xml:space="preserve"> </w:t>
      </w:r>
      <w:r w:rsidRPr="008841D7">
        <w:rPr>
          <w:rFonts w:ascii="Century" w:hAnsi="Century" w:hint="eastAsia"/>
          <w:b/>
          <w:bCs/>
          <w:rtl/>
        </w:rPr>
        <w:t>אלה</w:t>
      </w:r>
      <w:r>
        <w:rPr>
          <w:rFonts w:ascii="Century" w:hAnsi="Century" w:hint="cs"/>
          <w:b/>
          <w:bCs/>
          <w:rtl/>
        </w:rPr>
        <w:t xml:space="preserve"> במקרה זה</w:t>
      </w:r>
      <w:r w:rsidRPr="008841D7">
        <w:rPr>
          <w:rFonts w:ascii="Century" w:hAnsi="Century"/>
          <w:b/>
          <w:bCs/>
          <w:rtl/>
        </w:rPr>
        <w:t xml:space="preserve">, </w:t>
      </w:r>
      <w:r w:rsidRPr="008841D7">
        <w:rPr>
          <w:rFonts w:ascii="Century" w:hAnsi="Century" w:hint="eastAsia"/>
          <w:b/>
          <w:bCs/>
          <w:rtl/>
        </w:rPr>
        <w:t>כך</w:t>
      </w:r>
      <w:r w:rsidRPr="008841D7">
        <w:rPr>
          <w:rFonts w:ascii="Century" w:hAnsi="Century"/>
          <w:b/>
          <w:bCs/>
          <w:rtl/>
        </w:rPr>
        <w:t xml:space="preserve"> </w:t>
      </w:r>
      <w:r w:rsidRPr="008841D7">
        <w:rPr>
          <w:rFonts w:ascii="Century" w:hAnsi="Century" w:hint="eastAsia"/>
          <w:b/>
          <w:bCs/>
          <w:rtl/>
        </w:rPr>
        <w:t>שהעתירה</w:t>
      </w:r>
      <w:r w:rsidRPr="008841D7">
        <w:rPr>
          <w:rFonts w:ascii="Century" w:hAnsi="Century"/>
          <w:b/>
          <w:bCs/>
          <w:rtl/>
        </w:rPr>
        <w:t xml:space="preserve"> </w:t>
      </w:r>
      <w:r w:rsidRPr="008841D7">
        <w:rPr>
          <w:rFonts w:ascii="Century" w:hAnsi="Century" w:hint="eastAsia"/>
          <w:b/>
          <w:bCs/>
          <w:rtl/>
        </w:rPr>
        <w:t>התקבלה</w:t>
      </w:r>
      <w:r w:rsidRPr="008841D7">
        <w:rPr>
          <w:rFonts w:ascii="Century" w:hAnsi="Century"/>
          <w:b/>
          <w:bCs/>
          <w:rtl/>
        </w:rPr>
        <w:t xml:space="preserve"> </w:t>
      </w:r>
      <w:r w:rsidRPr="008841D7">
        <w:rPr>
          <w:rFonts w:ascii="Century" w:hAnsi="Century" w:hint="eastAsia"/>
          <w:b/>
          <w:bCs/>
          <w:rtl/>
        </w:rPr>
        <w:t>ברוב</w:t>
      </w:r>
      <w:r w:rsidRPr="008841D7">
        <w:rPr>
          <w:rFonts w:ascii="Century" w:hAnsi="Century"/>
          <w:b/>
          <w:bCs/>
          <w:rtl/>
        </w:rPr>
        <w:t xml:space="preserve"> </w:t>
      </w:r>
      <w:r w:rsidRPr="008841D7">
        <w:rPr>
          <w:rFonts w:ascii="Century" w:hAnsi="Century" w:hint="eastAsia"/>
          <w:b/>
          <w:bCs/>
          <w:rtl/>
        </w:rPr>
        <w:t>דעותיהם</w:t>
      </w:r>
      <w:r w:rsidRPr="008841D7">
        <w:rPr>
          <w:rFonts w:ascii="Century" w:hAnsi="Century"/>
          <w:b/>
          <w:bCs/>
          <w:rtl/>
        </w:rPr>
        <w:t xml:space="preserve"> </w:t>
      </w:r>
      <w:r w:rsidRPr="008841D7">
        <w:rPr>
          <w:rFonts w:ascii="Century" w:hAnsi="Century" w:hint="eastAsia"/>
          <w:b/>
          <w:bCs/>
          <w:rtl/>
        </w:rPr>
        <w:t>של</w:t>
      </w:r>
      <w:r w:rsidRPr="008841D7">
        <w:rPr>
          <w:rFonts w:ascii="Century" w:hAnsi="Century"/>
          <w:b/>
          <w:bCs/>
          <w:rtl/>
        </w:rPr>
        <w:t xml:space="preserve"> </w:t>
      </w:r>
      <w:r w:rsidRPr="008841D7">
        <w:rPr>
          <w:rFonts w:ascii="Century" w:hAnsi="Century" w:hint="eastAsia"/>
          <w:b/>
          <w:bCs/>
          <w:rtl/>
        </w:rPr>
        <w:t>השופטים</w:t>
      </w:r>
      <w:r w:rsidRPr="008841D7">
        <w:rPr>
          <w:rFonts w:ascii="Century" w:hAnsi="Century"/>
          <w:b/>
          <w:bCs/>
          <w:rtl/>
        </w:rPr>
        <w:t xml:space="preserve"> </w:t>
      </w:r>
      <w:r w:rsidRPr="008841D7">
        <w:rPr>
          <w:rFonts w:ascii="Century" w:hAnsi="Century" w:cs="Miriam" w:hint="eastAsia"/>
          <w:b/>
          <w:bCs/>
          <w:spacing w:val="0"/>
          <w:szCs w:val="24"/>
          <w:rtl/>
        </w:rPr>
        <w:t>ברק</w:t>
      </w:r>
      <w:r w:rsidRPr="008841D7">
        <w:rPr>
          <w:rFonts w:ascii="Century" w:hAnsi="Century" w:cs="Miriam"/>
          <w:b/>
          <w:bCs/>
          <w:spacing w:val="0"/>
          <w:szCs w:val="24"/>
          <w:rtl/>
        </w:rPr>
        <w:t>-</w:t>
      </w:r>
      <w:r w:rsidRPr="008841D7">
        <w:rPr>
          <w:rFonts w:ascii="Century" w:hAnsi="Century" w:cs="Miriam" w:hint="eastAsia"/>
          <w:b/>
          <w:bCs/>
          <w:spacing w:val="0"/>
          <w:szCs w:val="24"/>
          <w:rtl/>
        </w:rPr>
        <w:t>ארז</w:t>
      </w:r>
      <w:r w:rsidRPr="008841D7">
        <w:rPr>
          <w:rFonts w:ascii="Century" w:hAnsi="Century"/>
          <w:b/>
          <w:bCs/>
          <w:rtl/>
        </w:rPr>
        <w:t xml:space="preserve"> </w:t>
      </w:r>
      <w:r w:rsidRPr="008841D7">
        <w:rPr>
          <w:rFonts w:ascii="Century" w:hAnsi="Century" w:hint="eastAsia"/>
          <w:b/>
          <w:bCs/>
          <w:rtl/>
        </w:rPr>
        <w:t>ו</w:t>
      </w:r>
      <w:r w:rsidRPr="008841D7">
        <w:rPr>
          <w:rFonts w:ascii="Century" w:hAnsi="Century"/>
          <w:b/>
          <w:bCs/>
          <w:rtl/>
        </w:rPr>
        <w:t>-</w:t>
      </w:r>
      <w:r w:rsidRPr="008841D7">
        <w:rPr>
          <w:rFonts w:ascii="Century" w:hAnsi="Century" w:cs="Miriam" w:hint="eastAsia"/>
          <w:b/>
          <w:bCs/>
          <w:spacing w:val="0"/>
          <w:szCs w:val="24"/>
          <w:rtl/>
        </w:rPr>
        <w:t>גרוסקופף</w:t>
      </w:r>
      <w:r w:rsidRPr="008841D7">
        <w:rPr>
          <w:rFonts w:ascii="Century" w:hAnsi="Century"/>
          <w:b/>
          <w:bCs/>
          <w:rtl/>
        </w:rPr>
        <w:t xml:space="preserve">, </w:t>
      </w:r>
      <w:r w:rsidRPr="008841D7">
        <w:rPr>
          <w:rFonts w:ascii="Century" w:hAnsi="Century" w:hint="eastAsia"/>
          <w:b/>
          <w:bCs/>
          <w:rtl/>
        </w:rPr>
        <w:t>כנגד</w:t>
      </w:r>
      <w:r w:rsidRPr="008841D7">
        <w:rPr>
          <w:rFonts w:ascii="Century" w:hAnsi="Century"/>
          <w:b/>
          <w:bCs/>
          <w:rtl/>
        </w:rPr>
        <w:t xml:space="preserve"> </w:t>
      </w:r>
      <w:r w:rsidRPr="008841D7">
        <w:rPr>
          <w:rFonts w:ascii="Century" w:hAnsi="Century" w:hint="eastAsia"/>
          <w:b/>
          <w:bCs/>
          <w:rtl/>
        </w:rPr>
        <w:t>דעת</w:t>
      </w:r>
      <w:r>
        <w:rPr>
          <w:rFonts w:ascii="Century" w:hAnsi="Century" w:hint="cs"/>
          <w:b/>
          <w:bCs/>
          <w:rtl/>
        </w:rPr>
        <w:t>ו החולקת</w:t>
      </w:r>
      <w:r w:rsidRPr="008841D7">
        <w:rPr>
          <w:rFonts w:ascii="Century" w:hAnsi="Century"/>
          <w:b/>
          <w:bCs/>
          <w:rtl/>
        </w:rPr>
        <w:t xml:space="preserve"> </w:t>
      </w:r>
      <w:r w:rsidRPr="008841D7">
        <w:rPr>
          <w:rFonts w:ascii="Century" w:hAnsi="Century" w:hint="eastAsia"/>
          <w:b/>
          <w:bCs/>
          <w:rtl/>
        </w:rPr>
        <w:t>של</w:t>
      </w:r>
      <w:r w:rsidRPr="008841D7">
        <w:rPr>
          <w:rFonts w:ascii="Century" w:hAnsi="Century"/>
          <w:b/>
          <w:bCs/>
          <w:rtl/>
        </w:rPr>
        <w:t xml:space="preserve"> </w:t>
      </w:r>
      <w:r w:rsidRPr="008841D7">
        <w:rPr>
          <w:rFonts w:ascii="Century" w:hAnsi="Century" w:hint="eastAsia"/>
          <w:b/>
          <w:bCs/>
          <w:rtl/>
        </w:rPr>
        <w:t>השופט</w:t>
      </w:r>
      <w:r w:rsidRPr="008841D7">
        <w:rPr>
          <w:rFonts w:ascii="Century" w:hAnsi="Century"/>
          <w:b/>
          <w:bCs/>
          <w:rtl/>
        </w:rPr>
        <w:t xml:space="preserve"> </w:t>
      </w:r>
      <w:r w:rsidRPr="008841D7">
        <w:rPr>
          <w:rFonts w:ascii="Century" w:hAnsi="Century" w:cs="Miriam" w:hint="eastAsia"/>
          <w:b/>
          <w:bCs/>
          <w:spacing w:val="0"/>
          <w:szCs w:val="24"/>
          <w:rtl/>
        </w:rPr>
        <w:t>מינץ</w:t>
      </w:r>
      <w:r w:rsidRPr="008841D7">
        <w:rPr>
          <w:rFonts w:ascii="Century" w:hAnsi="Century"/>
          <w:b/>
          <w:bCs/>
          <w:rtl/>
        </w:rPr>
        <w:t>.</w:t>
      </w:r>
    </w:p>
    <w:p w:rsidR="00AD019E" w:rsidRDefault="00AD019E" w:rsidP="00AD019E">
      <w:pPr>
        <w:pStyle w:val="Ruller4"/>
        <w:rPr>
          <w:rFonts w:ascii="Century" w:hAnsi="Century"/>
          <w:rtl/>
        </w:rPr>
      </w:pPr>
    </w:p>
    <w:p w:rsidR="00AD019E" w:rsidRDefault="00AD019E" w:rsidP="00AD019E">
      <w:pPr>
        <w:pStyle w:val="Ruller4"/>
        <w:rPr>
          <w:rtl/>
        </w:rPr>
      </w:pPr>
      <w:r>
        <w:rPr>
          <w:rFonts w:ascii="Century" w:hAnsi="Century" w:hint="cs"/>
          <w:rtl/>
        </w:rPr>
        <w:t xml:space="preserve">השופטת </w:t>
      </w:r>
      <w:r>
        <w:rPr>
          <w:rFonts w:ascii="Century" w:hAnsi="Century" w:cs="Miriam" w:hint="cs"/>
          <w:b/>
          <w:spacing w:val="0"/>
          <w:szCs w:val="24"/>
          <w:rtl/>
        </w:rPr>
        <w:t>ברק-ארז</w:t>
      </w:r>
      <w:r>
        <w:rPr>
          <w:rFonts w:ascii="Century" w:hAnsi="Century" w:hint="cs"/>
          <w:rtl/>
        </w:rPr>
        <w:t xml:space="preserve"> קבעה כי עמדת המדינה כפי שהוצגה אינה מניחה את הדעת ביחס לקשיים שהעלו העותרות, וכי </w:t>
      </w:r>
      <w:r>
        <w:rPr>
          <w:rFonts w:hint="cs"/>
          <w:rtl/>
        </w:rPr>
        <w:t>קיים חשש שאספקת המזון לאסירים במתכונת הנוכחית אינה מבטיחה במידה מספקת את העמידה בסטנדרט החוקי</w:t>
      </w:r>
      <w:r>
        <w:rPr>
          <w:rFonts w:ascii="Century" w:hAnsi="Century" w:hint="cs"/>
          <w:rtl/>
        </w:rPr>
        <w:t>. בהמשך לכך, בהיבט המעשי הובהרו חובותיהם של המשיבים ופורטו שורת צעדים שעליהם לנקוט בעניין</w:t>
      </w:r>
      <w:r>
        <w:rPr>
          <w:rFonts w:hint="cs"/>
          <w:rtl/>
        </w:rPr>
        <w:t>. כן צוין בפסק הדין:</w:t>
      </w:r>
      <w:r>
        <w:rPr>
          <w:rFonts w:hint="cs"/>
        </w:rPr>
        <w:t xml:space="preserve"> </w:t>
      </w:r>
      <w:r>
        <w:rPr>
          <w:rFonts w:hint="cs"/>
          <w:rtl/>
        </w:rPr>
        <w:t>"קשה להתעלם מהרגשות הסוערים והכאב על רקע המלחמה, ולא כל שכן על רקע המצוקה של אחינו החטופים בעזה, שאותם אנו משווים נגד עינינו כל העת. אולם, אין בכך כדי להשכיח או לטשטש את החובות המוטלות על הרשויות העוסקות במלאכה במדינת ישראל. אין מדובר כאן בחיים נוחים או במותרות, אלא בתנאי הקיום הבסיסיים הנדרשים על-פי החוק. בל יהא חלקנו עם הגרועים שבאויבינו... יש לזכור שעדויותיהם הכואבות של פדויי שבי ששוחררו מלמדות כי משטר מזון נוקשה יותר אינו מיטיב את סבלם של אחינו החטופים הנתונים עדיין בצרה ובשביה, ואף להפך".</w:t>
      </w:r>
    </w:p>
    <w:p w:rsidR="00AD019E" w:rsidRDefault="00AD019E" w:rsidP="00AD019E">
      <w:pPr>
        <w:pStyle w:val="Ruller4"/>
        <w:rPr>
          <w:rtl/>
        </w:rPr>
      </w:pPr>
    </w:p>
    <w:p w:rsidR="00AD019E" w:rsidRPr="0070683E" w:rsidRDefault="00AD019E" w:rsidP="00AD019E">
      <w:pPr>
        <w:pStyle w:val="Ruller4"/>
        <w:rPr>
          <w:rFonts w:ascii="Century" w:hAnsi="Century"/>
          <w:rtl/>
        </w:rPr>
      </w:pPr>
      <w:r>
        <w:rPr>
          <w:rFonts w:ascii="Century" w:hAnsi="Century" w:hint="cs"/>
          <w:rtl/>
        </w:rPr>
        <w:t xml:space="preserve">השופט </w:t>
      </w:r>
      <w:r>
        <w:rPr>
          <w:rFonts w:ascii="Century" w:hAnsi="Century" w:cs="Miriam" w:hint="cs"/>
          <w:b/>
          <w:spacing w:val="0"/>
          <w:szCs w:val="24"/>
          <w:rtl/>
        </w:rPr>
        <w:t>גרוסקופף</w:t>
      </w:r>
      <w:r>
        <w:rPr>
          <w:rFonts w:ascii="Century" w:hAnsi="Century" w:hint="cs"/>
          <w:rtl/>
        </w:rPr>
        <w:t xml:space="preserve"> הדגיש אף הוא כי המדינה לא עמדה בנטל הראייתי שהועבר אליה מעת שהוצא הצו על-תנאי, בין השאר בכל הנוגע ליישום הנאות של מדיניות התזונה והתפריט ברמת השטח, וכן להבטחת קיומן של דרישות החוק ברמת האסיר הבודד.</w:t>
      </w:r>
    </w:p>
    <w:p w:rsidR="00AD019E" w:rsidRDefault="00AD019E" w:rsidP="00AD019E">
      <w:pPr>
        <w:pStyle w:val="Ruller4"/>
        <w:rPr>
          <w:rFonts w:ascii="Century" w:hAnsi="Century"/>
          <w:rtl/>
        </w:rPr>
      </w:pPr>
    </w:p>
    <w:p w:rsidR="00AD019E" w:rsidRPr="00852574" w:rsidRDefault="00AD019E" w:rsidP="00AD019E">
      <w:pPr>
        <w:pStyle w:val="Ruller4"/>
        <w:rPr>
          <w:rFonts w:ascii="Century" w:hAnsi="Century"/>
          <w:rtl/>
        </w:rPr>
      </w:pPr>
      <w:r>
        <w:rPr>
          <w:rFonts w:ascii="Century" w:hAnsi="Century" w:hint="cs"/>
          <w:rtl/>
        </w:rPr>
        <w:lastRenderedPageBreak/>
        <w:t xml:space="preserve">השופט </w:t>
      </w:r>
      <w:r>
        <w:rPr>
          <w:rFonts w:ascii="Century" w:hAnsi="Century" w:cs="Miriam" w:hint="cs"/>
          <w:b/>
          <w:spacing w:val="0"/>
          <w:szCs w:val="24"/>
          <w:rtl/>
        </w:rPr>
        <w:t>מינץ</w:t>
      </w:r>
      <w:r>
        <w:rPr>
          <w:rFonts w:ascii="Century" w:hAnsi="Century" w:hint="cs"/>
          <w:rtl/>
        </w:rPr>
        <w:t xml:space="preserve"> לא חלק כאמור על נקודת המוצא העקרונית בדבר חובותיה של המדינה. עם זאת, הוא סבר </w:t>
      </w:r>
      <w:r>
        <w:rPr>
          <w:rFonts w:hint="cs"/>
          <w:rtl/>
        </w:rPr>
        <w:t xml:space="preserve">כי המשיבים אכן נוקטים בצעדים המבטיחים עמידה בדרישות הדין בכל הנוגע למזון האסירים הביטחוניים. זאת הן </w:t>
      </w:r>
      <w:r>
        <w:rPr>
          <w:rFonts w:ascii="Century" w:hAnsi="Century" w:hint="cs"/>
          <w:rtl/>
        </w:rPr>
        <w:t>ביחס לתפריט העדכני, הנתמך בחוות דעת של גורמי מקצוע בשב"ס לפיהן הוא עומד באמות המידה הקבועות בדין; והן ביחס להספקת המזון בהתאם לתפריט בפועל, לגביה נערכות ביקורות עיתיות וננקטים צעדים נוספים להבטחתה.</w:t>
      </w:r>
    </w:p>
    <w:p w:rsidR="00E13F6E" w:rsidRPr="00460FA3" w:rsidRDefault="00E13F6E" w:rsidP="00E13F6E">
      <w:pPr>
        <w:spacing w:after="120" w:line="360" w:lineRule="auto"/>
        <w:jc w:val="both"/>
        <w:rPr>
          <w:rFonts w:ascii="FrankRuehl" w:hAnsi="FrankRuehl" w:cs="FrankRuehl"/>
          <w:color w:val="323E4F" w:themeColor="text2" w:themeShade="BF"/>
          <w:sz w:val="26"/>
          <w:szCs w:val="26"/>
          <w:rtl/>
        </w:rPr>
      </w:pPr>
    </w:p>
    <w:p w:rsidR="00E13F6E" w:rsidRDefault="00E13F6E" w:rsidP="00E13F6E">
      <w:pPr>
        <w:spacing w:after="120" w:line="360" w:lineRule="auto"/>
        <w:jc w:val="both"/>
        <w:rPr>
          <w:rFonts w:ascii="FrankRuehl" w:hAnsi="FrankRuehl" w:cs="FrankRuehl"/>
          <w:color w:val="323E4F" w:themeColor="text2" w:themeShade="BF"/>
          <w:sz w:val="26"/>
          <w:szCs w:val="26"/>
          <w:rtl/>
        </w:rPr>
      </w:pPr>
    </w:p>
    <w:p w:rsidR="00E13F6E" w:rsidRDefault="00E13F6E" w:rsidP="00E13F6E">
      <w:pPr>
        <w:spacing w:after="120" w:line="360" w:lineRule="auto"/>
        <w:jc w:val="both"/>
        <w:rPr>
          <w:rFonts w:ascii="FrankRuehl" w:hAnsi="FrankRuehl" w:cs="FrankRuehl"/>
          <w:color w:val="323E4F" w:themeColor="text2" w:themeShade="BF"/>
          <w:sz w:val="26"/>
          <w:szCs w:val="26"/>
        </w:rPr>
      </w:pPr>
    </w:p>
    <w:p w:rsidR="00E13F6E" w:rsidRDefault="00E13F6E" w:rsidP="00E13F6E">
      <w:pPr>
        <w:spacing w:after="120" w:line="360" w:lineRule="auto"/>
        <w:jc w:val="both"/>
        <w:rPr>
          <w:rFonts w:ascii="FrankRuehl" w:hAnsi="FrankRuehl" w:cs="FrankRuehl"/>
          <w:color w:val="323E4F" w:themeColor="text2" w:themeShade="BF"/>
          <w:sz w:val="26"/>
          <w:szCs w:val="26"/>
          <w:rtl/>
        </w:rPr>
      </w:pPr>
    </w:p>
    <w:p w:rsidR="00E13F6E" w:rsidRPr="000071E5" w:rsidRDefault="00E13F6E" w:rsidP="00E13F6E">
      <w:pPr>
        <w:spacing w:after="120" w:line="360" w:lineRule="auto"/>
        <w:jc w:val="center"/>
        <w:rPr>
          <w:rFonts w:ascii="FrankRuehl" w:hAnsi="FrankRuehl" w:cs="FrankRuehl"/>
          <w:b/>
          <w:bCs/>
          <w:color w:val="002060"/>
          <w:sz w:val="26"/>
          <w:szCs w:val="26"/>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p w:rsidR="00515986" w:rsidRPr="00E13F6E" w:rsidRDefault="00515986" w:rsidP="000C4D75">
      <w:pPr>
        <w:tabs>
          <w:tab w:val="num" w:pos="1080"/>
        </w:tabs>
        <w:spacing w:after="0" w:line="276" w:lineRule="auto"/>
        <w:jc w:val="both"/>
        <w:rPr>
          <w:rFonts w:ascii="Arial" w:eastAsia="Times New Roman" w:hAnsi="Arial" w:cs="David"/>
          <w:b/>
          <w:bCs/>
          <w:sz w:val="24"/>
          <w:szCs w:val="24"/>
          <w:rtl/>
        </w:rPr>
      </w:pPr>
    </w:p>
    <w:p w:rsidR="00515986" w:rsidRDefault="00515986" w:rsidP="000C4D75">
      <w:pPr>
        <w:tabs>
          <w:tab w:val="num" w:pos="1080"/>
        </w:tabs>
        <w:spacing w:after="0" w:line="276" w:lineRule="auto"/>
        <w:jc w:val="both"/>
        <w:rPr>
          <w:rFonts w:ascii="Arial" w:eastAsia="Times New Roman" w:hAnsi="Arial" w:cs="David"/>
          <w:b/>
          <w:bCs/>
          <w:sz w:val="24"/>
          <w:szCs w:val="24"/>
          <w:rtl/>
        </w:rPr>
      </w:pPr>
    </w:p>
    <w:p w:rsidR="002453CF" w:rsidRPr="007B7899" w:rsidRDefault="002453CF" w:rsidP="007B7899">
      <w:pPr>
        <w:spacing w:before="100" w:beforeAutospacing="1" w:after="100" w:afterAutospacing="1" w:line="240" w:lineRule="auto"/>
        <w:ind w:left="4320"/>
        <w:jc w:val="both"/>
        <w:rPr>
          <w:rFonts w:ascii="Times New Roman" w:eastAsia="Times New Roman" w:hAnsi="Times New Roman" w:cs="David"/>
          <w:b/>
          <w:bCs/>
          <w:color w:val="002060"/>
          <w:rtl/>
        </w:rPr>
      </w:pP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A1" w:rsidRDefault="00730CA1" w:rsidP="00730CA1">
      <w:pPr>
        <w:spacing w:after="0" w:line="240" w:lineRule="auto"/>
      </w:pPr>
      <w:r>
        <w:separator/>
      </w:r>
    </w:p>
  </w:endnote>
  <w:endnote w:type="continuationSeparator" w:id="0">
    <w:p w:rsidR="00730CA1" w:rsidRDefault="00730CA1"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בית משפט העליון | דרך השופט מאיר שמגר 1 | </w:t>
    </w:r>
    <w:proofErr w:type="spellStart"/>
    <w:r w:rsidRPr="003A639C">
      <w:rPr>
        <w:rFonts w:ascii="Times New Roman" w:eastAsia="Times New Roman" w:hAnsi="Times New Roman" w:cs="FrankRuehl" w:hint="cs"/>
        <w:b/>
        <w:bCs/>
        <w:color w:val="000080"/>
        <w:spacing w:val="6"/>
        <w:sz w:val="24"/>
        <w:szCs w:val="24"/>
        <w:rtl/>
      </w:rPr>
      <w:t>קרית</w:t>
    </w:r>
    <w:proofErr w:type="spellEnd"/>
    <w:r w:rsidRPr="003A639C">
      <w:rPr>
        <w:rFonts w:ascii="Times New Roman" w:eastAsia="Times New Roman" w:hAnsi="Times New Roman" w:cs="FrankRuehl" w:hint="cs"/>
        <w:b/>
        <w:bCs/>
        <w:color w:val="000080"/>
        <w:spacing w:val="6"/>
        <w:sz w:val="24"/>
        <w:szCs w:val="24"/>
        <w:rtl/>
      </w:rPr>
      <w:t xml:space="preserve"> בן גוריון | ירושלים</w:t>
    </w:r>
  </w:p>
  <w:p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A1" w:rsidRDefault="00730CA1" w:rsidP="00730CA1">
      <w:pPr>
        <w:spacing w:after="0" w:line="240" w:lineRule="auto"/>
      </w:pPr>
      <w:r>
        <w:separator/>
      </w:r>
    </w:p>
  </w:footnote>
  <w:footnote w:type="continuationSeparator" w:id="0">
    <w:p w:rsidR="00730CA1" w:rsidRDefault="00730CA1"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268190" cy="316952"/>
          <wp:effectExtent l="0" t="0" r="0" b="698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58" cy="326723"/>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AD019E"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rtl/>
        <w:lang w:eastAsia="he-IL"/>
      </w:rPr>
    </w:pPr>
    <w:r w:rsidRPr="00AD019E">
      <w:rPr>
        <w:rFonts w:ascii="Times New Roman" w:eastAsia="Times New Roman" w:hAnsi="Times New Roman" w:cs="FrankRuehl" w:hint="cs"/>
        <w:b/>
        <w:bCs/>
        <w:color w:val="000080"/>
        <w:spacing w:val="6"/>
        <w:rtl/>
        <w:lang w:eastAsia="he-IL"/>
      </w:rPr>
      <w:t>מערכת בתי המשפט</w:t>
    </w:r>
  </w:p>
  <w:p w:rsidR="007007D7" w:rsidRPr="00AD019E"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lang w:eastAsia="he-IL"/>
      </w:rPr>
    </w:pPr>
    <w:r w:rsidRPr="00AD019E">
      <w:rPr>
        <w:rFonts w:ascii="Times New Roman" w:eastAsia="Times New Roman" w:hAnsi="Times New Roman" w:cs="FrankRuehl" w:hint="cs"/>
        <w:b/>
        <w:bCs/>
        <w:color w:val="000080"/>
        <w:spacing w:val="6"/>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D42A7"/>
    <w:rsid w:val="002453CF"/>
    <w:rsid w:val="002C0E83"/>
    <w:rsid w:val="003921C3"/>
    <w:rsid w:val="003A639C"/>
    <w:rsid w:val="003C61AF"/>
    <w:rsid w:val="003E6E39"/>
    <w:rsid w:val="003E7EB7"/>
    <w:rsid w:val="00426AA7"/>
    <w:rsid w:val="00515986"/>
    <w:rsid w:val="005253B2"/>
    <w:rsid w:val="00541C9E"/>
    <w:rsid w:val="00631744"/>
    <w:rsid w:val="00690B6F"/>
    <w:rsid w:val="006B7B96"/>
    <w:rsid w:val="006C3B1F"/>
    <w:rsid w:val="006F1E1F"/>
    <w:rsid w:val="007007D7"/>
    <w:rsid w:val="00711675"/>
    <w:rsid w:val="00730CA1"/>
    <w:rsid w:val="007B7899"/>
    <w:rsid w:val="00832AD7"/>
    <w:rsid w:val="008C02E0"/>
    <w:rsid w:val="00983123"/>
    <w:rsid w:val="009E5C0E"/>
    <w:rsid w:val="00AD019E"/>
    <w:rsid w:val="00AD764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13F6E"/>
    <w:rsid w:val="00E35DF3"/>
    <w:rsid w:val="00E4211C"/>
    <w:rsid w:val="00EA6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2830"/>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customStyle="1" w:styleId="Ruller4">
    <w:name w:val="Ruller4"/>
    <w:basedOn w:val="a"/>
    <w:rsid w:val="00AD019E"/>
    <w:pPr>
      <w:tabs>
        <w:tab w:val="left" w:pos="800"/>
      </w:tabs>
      <w:overflowPunct w:val="0"/>
      <w:autoSpaceDE w:val="0"/>
      <w:autoSpaceDN w:val="0"/>
      <w:adjustRightInd w:val="0"/>
      <w:spacing w:after="0" w:line="360" w:lineRule="auto"/>
      <w:jc w:val="both"/>
      <w:textAlignment w:val="baseline"/>
    </w:pPr>
    <w:rPr>
      <w:rFonts w:ascii="Arial TUR" w:eastAsia="Times New Roman" w:hAnsi="Arial TUR"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E63740F5-B522-420C-848A-5056547316C1}">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2090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שני קמחי נידם</cp:lastModifiedBy>
  <cp:revision>3</cp:revision>
  <cp:lastPrinted>2017-11-13T12:38:00Z</cp:lastPrinted>
  <dcterms:created xsi:type="dcterms:W3CDTF">2025-09-07T09:17:00Z</dcterms:created>
  <dcterms:modified xsi:type="dcterms:W3CDTF">2025-09-07T09:30:00Z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07 בספטמבר 2025</vt:lpwstr>
  </property>
  <property fmtid="{D5CDD505-2E9C-101B-9397-08002B2CF9AE}" pid="3" name="DocDateHeb">
    <vt:lpwstr>י"ד באלול תשפ"ה</vt:lpwstr>
  </property>
  <property fmtid="{D5CDD505-2E9C-101B-9397-08002B2CF9AE}" pid="4" name="DocNumber">
    <vt:lpwstr>4700-1039-2025-006012</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בתיק בג"ץ 2858-24</vt:lpwstr>
  </property>
</Properties>
</file>