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jc w:val="both"/>
        <w:rPr>
          <w:rFonts w:ascii="Arial" w:cs="Arial" w:eastAsia="Arial" w:hAnsi="Arial"/>
          <w:b w:val="1"/>
          <w:sz w:val="26"/>
          <w:szCs w:val="26"/>
        </w:rPr>
      </w:pPr>
      <w:bookmarkStart w:colFirst="0" w:colLast="0" w:name="_7wu1yyrjk39t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882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16"/>
        <w:gridCol w:w="3460"/>
        <w:gridCol w:w="3344"/>
        <w:tblGridChange w:id="0">
          <w:tblGrid>
            <w:gridCol w:w="2016"/>
            <w:gridCol w:w="3460"/>
            <w:gridCol w:w="3344"/>
          </w:tblGrid>
        </w:tblGridChange>
      </w:tblGrid>
      <w:tr>
        <w:trPr>
          <w:cantSplit w:val="0"/>
          <w:trHeight w:val="29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bidi w:val="1"/>
              <w:jc w:val="both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לפני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כב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'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הנשיא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השופט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בני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שגיא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bidi w:val="1"/>
              <w:jc w:val="both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6">
            <w:pPr>
              <w:bidi w:val="1"/>
              <w:jc w:val="both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המאשימה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7">
            <w:pPr>
              <w:bidi w:val="1"/>
              <w:rPr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מדינת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ישראל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bidi w:val="1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ע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"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י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ב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"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כ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עו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"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ד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מיכאל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כהן</w:t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bidi w:val="1"/>
              <w:jc w:val="both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B">
            <w:pPr>
              <w:bidi w:val="1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bidi w:val="1"/>
              <w:jc w:val="right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bidi w:val="1"/>
              <w:jc w:val="both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נגד</w:t>
            </w:r>
          </w:p>
          <w:p w:rsidR="00000000" w:rsidDel="00000000" w:rsidP="00000000" w:rsidRDefault="00000000" w:rsidRPr="00000000" w14:paraId="00000010">
            <w:pPr>
              <w:bidi w:val="1"/>
              <w:jc w:val="both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הנאשם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bidi w:val="1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מרדכי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ממן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bidi w:val="1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ע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"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י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ב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"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כ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עו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"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ד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אייל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בסרגליק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bidi w:val="1"/>
              <w:jc w:val="both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bidi w:val="1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bidi w:val="1"/>
              <w:jc w:val="right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882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820"/>
        <w:tblGridChange w:id="0">
          <w:tblGrid>
            <w:gridCol w:w="8820"/>
          </w:tblGrid>
        </w:tblGridChange>
      </w:tblGrid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bidi w:val="1"/>
              <w:jc w:val="center"/>
              <w:rPr>
                <w:rFonts w:ascii="Arial" w:cs="Arial" w:eastAsia="Arial" w:hAnsi="Arial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u w:val="single"/>
                <w:rtl w:val="1"/>
              </w:rPr>
              <w:t xml:space="preserve">גזר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u w:val="single"/>
                <w:rtl w:val="1"/>
              </w:rPr>
              <w:t xml:space="preserve">דין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  <w:u w:val="single"/>
        </w:rPr>
      </w:pPr>
      <w:r w:rsidDel="00000000" w:rsidR="00000000" w:rsidRPr="00000000">
        <w:rPr>
          <w:rFonts w:ascii="David" w:cs="David" w:eastAsia="David" w:hAnsi="David"/>
          <w:rtl w:val="0"/>
        </w:rPr>
        <w:tab/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כללי</w:t>
      </w:r>
    </w:p>
    <w:p w:rsidR="00000000" w:rsidDel="00000000" w:rsidP="00000000" w:rsidRDefault="00000000" w:rsidRPr="00000000" w14:paraId="0000001E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1.</w:t>
        <w:tab/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הורשע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יסוד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הודאתו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בעבירות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מגע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סוכן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חוץ</w:t>
      </w:r>
      <w:r w:rsidDel="00000000" w:rsidR="00000000" w:rsidRPr="00000000">
        <w:rPr>
          <w:rFonts w:ascii="David" w:cs="David" w:eastAsia="David" w:hAnsi="David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rtl w:val="1"/>
        </w:rPr>
        <w:t xml:space="preserve">עבירה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לפי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סעיף</w:t>
      </w:r>
      <w:r w:rsidDel="00000000" w:rsidR="00000000" w:rsidRPr="00000000">
        <w:rPr>
          <w:rFonts w:ascii="David" w:cs="David" w:eastAsia="David" w:hAnsi="David"/>
          <w:rtl w:val="1"/>
        </w:rPr>
        <w:t xml:space="preserve"> 114(</w:t>
      </w:r>
      <w:r w:rsidDel="00000000" w:rsidR="00000000" w:rsidRPr="00000000">
        <w:rPr>
          <w:rFonts w:ascii="David" w:cs="David" w:eastAsia="David" w:hAnsi="David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rtl w:val="1"/>
        </w:rPr>
        <w:t xml:space="preserve">לחוק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העונשין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התשל</w:t>
      </w:r>
      <w:r w:rsidDel="00000000" w:rsidR="00000000" w:rsidRPr="00000000">
        <w:rPr>
          <w:rFonts w:ascii="David" w:cs="David" w:eastAsia="David" w:hAnsi="David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rtl w:val="1"/>
        </w:rPr>
        <w:t xml:space="preserve">-1977,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וכניסה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למדינת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אויב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ללא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היתר</w:t>
      </w:r>
      <w:r w:rsidDel="00000000" w:rsidR="00000000" w:rsidRPr="00000000">
        <w:rPr>
          <w:rFonts w:ascii="David" w:cs="David" w:eastAsia="David" w:hAnsi="David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rtl w:val="1"/>
        </w:rPr>
        <w:t xml:space="preserve">עבירה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לפי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סעיף</w:t>
      </w:r>
      <w:r w:rsidDel="00000000" w:rsidR="00000000" w:rsidRPr="00000000">
        <w:rPr>
          <w:rFonts w:ascii="David" w:cs="David" w:eastAsia="David" w:hAnsi="David"/>
          <w:rtl w:val="1"/>
        </w:rPr>
        <w:t xml:space="preserve"> 7</w:t>
      </w:r>
      <w:r w:rsidDel="00000000" w:rsidR="00000000" w:rsidRPr="00000000">
        <w:rPr>
          <w:rFonts w:ascii="David" w:cs="David" w:eastAsia="David" w:hAnsi="David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יחד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סעיף</w:t>
      </w:r>
      <w:r w:rsidDel="00000000" w:rsidR="00000000" w:rsidRPr="00000000">
        <w:rPr>
          <w:rFonts w:ascii="David" w:cs="David" w:eastAsia="David" w:hAnsi="David"/>
          <w:rtl w:val="1"/>
        </w:rPr>
        <w:t xml:space="preserve"> 12 </w:t>
      </w:r>
      <w:r w:rsidDel="00000000" w:rsidR="00000000" w:rsidRPr="00000000">
        <w:rPr>
          <w:rFonts w:ascii="David" w:cs="David" w:eastAsia="David" w:hAnsi="David"/>
          <w:rtl w:val="1"/>
        </w:rPr>
        <w:t xml:space="preserve">לחוק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הכניסה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לישראל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תשי</w:t>
      </w:r>
      <w:r w:rsidDel="00000000" w:rsidR="00000000" w:rsidRPr="00000000">
        <w:rPr>
          <w:rFonts w:ascii="David" w:cs="David" w:eastAsia="David" w:hAnsi="David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rtl w:val="1"/>
        </w:rPr>
        <w:t xml:space="preserve">-1952,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וסעיף</w:t>
      </w:r>
      <w:r w:rsidDel="00000000" w:rsidR="00000000" w:rsidRPr="00000000">
        <w:rPr>
          <w:rFonts w:ascii="David" w:cs="David" w:eastAsia="David" w:hAnsi="David"/>
          <w:rtl w:val="1"/>
        </w:rPr>
        <w:t xml:space="preserve"> 2</w:t>
      </w:r>
      <w:r w:rsidDel="00000000" w:rsidR="00000000" w:rsidRPr="00000000">
        <w:rPr>
          <w:rFonts w:ascii="David" w:cs="David" w:eastAsia="David" w:hAnsi="David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למניעת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הסתננות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rtl w:val="1"/>
        </w:rPr>
        <w:t xml:space="preserve">עבירות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ושיפוט</w:t>
      </w:r>
      <w:r w:rsidDel="00000000" w:rsidR="00000000" w:rsidRPr="00000000">
        <w:rPr>
          <w:rFonts w:ascii="David" w:cs="David" w:eastAsia="David" w:hAnsi="David"/>
          <w:rtl w:val="1"/>
        </w:rPr>
        <w:t xml:space="preserve">), </w:t>
      </w:r>
      <w:r w:rsidDel="00000000" w:rsidR="00000000" w:rsidRPr="00000000">
        <w:rPr>
          <w:rFonts w:ascii="David" w:cs="David" w:eastAsia="David" w:hAnsi="David"/>
          <w:rtl w:val="1"/>
        </w:rPr>
        <w:t xml:space="preserve">התשי</w:t>
      </w:r>
      <w:r w:rsidDel="00000000" w:rsidR="00000000" w:rsidRPr="00000000">
        <w:rPr>
          <w:rFonts w:ascii="David" w:cs="David" w:eastAsia="David" w:hAnsi="David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rtl w:val="1"/>
        </w:rPr>
        <w:t xml:space="preserve">-1954. </w:t>
      </w:r>
    </w:p>
    <w:p w:rsidR="00000000" w:rsidDel="00000000" w:rsidP="00000000" w:rsidRDefault="00000000" w:rsidRPr="00000000" w14:paraId="00000020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0"/>
        </w:rPr>
        <w:t xml:space="preserve">  </w:t>
      </w:r>
    </w:p>
    <w:p w:rsidR="00000000" w:rsidDel="00000000" w:rsidP="00000000" w:rsidRDefault="00000000" w:rsidRPr="00000000" w14:paraId="00000021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2.</w:t>
        <w:tab/>
      </w:r>
      <w:r w:rsidDel="00000000" w:rsidR="00000000" w:rsidRPr="00000000">
        <w:rPr>
          <w:rFonts w:ascii="David" w:cs="David" w:eastAsia="David" w:hAnsi="David"/>
          <w:rtl w:val="1"/>
        </w:rPr>
        <w:t xml:space="preserve">הודאת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ניתנה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לאחר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תיקון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כתב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האישום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משיקולים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ראייתיים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ומבלי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שגובשה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הסכמה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כלשהי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לעניין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העונש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לאחר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הודאת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והרשעתו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ובשלב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העונש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העידו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עדים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מטעמו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תיארו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אופיו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פועלו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תרומתו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למען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מדינת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לאורך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שנים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רבות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וכמו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העידו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בני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משפחתו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אתייחס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לעדויות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אלה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בחלק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אדון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בקביעת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העונש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המתאים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22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  <w:u w:val="single"/>
        </w:rPr>
      </w:pPr>
      <w:r w:rsidDel="00000000" w:rsidR="00000000" w:rsidRPr="00000000">
        <w:rPr>
          <w:rFonts w:ascii="David" w:cs="David" w:eastAsia="David" w:hAnsi="David"/>
          <w:rtl w:val="0"/>
        </w:rPr>
        <w:tab/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עובדות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כתב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האישום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המתוקן</w:t>
      </w:r>
    </w:p>
    <w:p w:rsidR="00000000" w:rsidDel="00000000" w:rsidP="00000000" w:rsidRDefault="00000000" w:rsidRPr="00000000" w14:paraId="00000024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3.</w:t>
        <w:tab/>
      </w:r>
      <w:r w:rsidDel="00000000" w:rsidR="00000000" w:rsidRPr="00000000">
        <w:rPr>
          <w:rFonts w:ascii="David" w:cs="David" w:eastAsia="David" w:hAnsi="David"/>
          <w:rtl w:val="1"/>
        </w:rPr>
        <w:t xml:space="preserve">עובר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למועדים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הרלוונטיים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לכתב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אישום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הינו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אזרח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ישראלי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הנשוי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לנ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  <w:r w:rsidDel="00000000" w:rsidR="00000000" w:rsidRPr="00000000">
        <w:rPr>
          <w:rFonts w:ascii="David" w:cs="David" w:eastAsia="David" w:hAnsi="David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להלן</w:t>
      </w:r>
      <w:r w:rsidDel="00000000" w:rsidR="00000000" w:rsidRPr="00000000">
        <w:rPr>
          <w:rFonts w:ascii="David" w:cs="David" w:eastAsia="David" w:hAnsi="David"/>
          <w:rtl w:val="1"/>
        </w:rPr>
        <w:t xml:space="preserve"> -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בת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זוגו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), </w:t>
      </w:r>
      <w:r w:rsidDel="00000000" w:rsidR="00000000" w:rsidRPr="00000000">
        <w:rPr>
          <w:rFonts w:ascii="David" w:cs="David" w:eastAsia="David" w:hAnsi="David"/>
          <w:rtl w:val="1"/>
        </w:rPr>
        <w:t xml:space="preserve">התגורר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למשך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מספר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שנים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במחוז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0"/>
        </w:rPr>
        <w:t xml:space="preserve">Samandag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שבטורקיה</w:t>
      </w:r>
      <w:r w:rsidDel="00000000" w:rsidR="00000000" w:rsidRPr="00000000">
        <w:rPr>
          <w:rFonts w:ascii="David" w:cs="David" w:eastAsia="David" w:hAnsi="David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להלן</w:t>
      </w:r>
      <w:r w:rsidDel="00000000" w:rsidR="00000000" w:rsidRPr="00000000">
        <w:rPr>
          <w:rFonts w:ascii="David" w:cs="David" w:eastAsia="David" w:hAnsi="David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b w:val="1"/>
          <w:rtl w:val="0"/>
        </w:rPr>
        <w:t xml:space="preserve">Samandag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),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ובתקופה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רקם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קשרים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עסקיים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וחברתיים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אנדריי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פארוק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אסלן</w:t>
      </w:r>
      <w:r w:rsidDel="00000000" w:rsidR="00000000" w:rsidRPr="00000000">
        <w:rPr>
          <w:rFonts w:ascii="David" w:cs="David" w:eastAsia="David" w:hAnsi="David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להלן</w:t>
      </w:r>
      <w:r w:rsidDel="00000000" w:rsidR="00000000" w:rsidRPr="00000000">
        <w:rPr>
          <w:rFonts w:ascii="David" w:cs="David" w:eastAsia="David" w:hAnsi="David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אנדריי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),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וג</w:t>
      </w:r>
      <w:r w:rsidDel="00000000" w:rsidR="00000000" w:rsidRPr="00000000">
        <w:rPr>
          <w:rFonts w:ascii="David" w:cs="David" w:eastAsia="David" w:hAnsi="David"/>
          <w:rtl w:val="1"/>
        </w:rPr>
        <w:t xml:space="preserve">'</w:t>
      </w:r>
      <w:r w:rsidDel="00000000" w:rsidR="00000000" w:rsidRPr="00000000">
        <w:rPr>
          <w:rFonts w:ascii="David" w:cs="David" w:eastAsia="David" w:hAnsi="David"/>
          <w:rtl w:val="1"/>
        </w:rPr>
        <w:t xml:space="preserve">ונייד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אסלן</w:t>
      </w:r>
      <w:r w:rsidDel="00000000" w:rsidR="00000000" w:rsidRPr="00000000">
        <w:rPr>
          <w:rFonts w:ascii="David" w:cs="David" w:eastAsia="David" w:hAnsi="David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להלן</w:t>
      </w:r>
      <w:r w:rsidDel="00000000" w:rsidR="00000000" w:rsidRPr="00000000">
        <w:rPr>
          <w:rFonts w:ascii="David" w:cs="David" w:eastAsia="David" w:hAnsi="David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'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ונייד</w:t>
      </w:r>
      <w:r w:rsidDel="00000000" w:rsidR="00000000" w:rsidRPr="00000000">
        <w:rPr>
          <w:rFonts w:ascii="David" w:cs="David" w:eastAsia="David" w:hAnsi="David"/>
          <w:rtl w:val="0"/>
        </w:rPr>
        <w:t xml:space="preserve">). </w:t>
      </w:r>
    </w:p>
    <w:p w:rsidR="00000000" w:rsidDel="00000000" w:rsidP="00000000" w:rsidRDefault="00000000" w:rsidRPr="00000000" w14:paraId="00000026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spacing w:line="360" w:lineRule="auto"/>
        <w:ind w:left="720" w:firstLine="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סמוך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לתחילת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חודש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אפריל</w:t>
      </w:r>
      <w:r w:rsidDel="00000000" w:rsidR="00000000" w:rsidRPr="00000000">
        <w:rPr>
          <w:rFonts w:ascii="David" w:cs="David" w:eastAsia="David" w:hAnsi="David"/>
          <w:rtl w:val="1"/>
        </w:rPr>
        <w:t xml:space="preserve"> 2024, </w:t>
      </w:r>
      <w:r w:rsidDel="00000000" w:rsidR="00000000" w:rsidRPr="00000000">
        <w:rPr>
          <w:rFonts w:ascii="David" w:cs="David" w:eastAsia="David" w:hAnsi="David"/>
          <w:rtl w:val="1"/>
        </w:rPr>
        <w:t xml:space="preserve">פנה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אנדריי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ואל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rtl w:val="1"/>
        </w:rPr>
        <w:t xml:space="preserve">'</w:t>
      </w:r>
      <w:r w:rsidDel="00000000" w:rsidR="00000000" w:rsidRPr="00000000">
        <w:rPr>
          <w:rFonts w:ascii="David" w:cs="David" w:eastAsia="David" w:hAnsi="David"/>
          <w:rtl w:val="1"/>
        </w:rPr>
        <w:t xml:space="preserve">ונייד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באמצעות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שיחות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קוליות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שבוצעו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ביישומון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הווטסאפ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והתעניין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באפשרות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ביצוען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עסקאות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באמצעותם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עמם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בתחומים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שונים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וזאת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רקע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מצבו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הכלכלי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במסגרתו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עמדו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חובותיו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בגובה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עשרות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אלפי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שקלים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28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ab/>
      </w:r>
      <w:r w:rsidDel="00000000" w:rsidR="00000000" w:rsidRPr="00000000">
        <w:rPr>
          <w:rFonts w:ascii="David" w:cs="David" w:eastAsia="David" w:hAnsi="David"/>
          <w:rtl w:val="1"/>
        </w:rPr>
        <w:t xml:space="preserve">במהלך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אחת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השיחות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שהוזכרו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לעיל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טען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אנדריי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בפני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מקיים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קשר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עסקי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מתמשך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אדם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עשיר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עסקים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רבים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המתגורר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באיראן</w:t>
      </w:r>
      <w:r w:rsidDel="00000000" w:rsidR="00000000" w:rsidRPr="00000000">
        <w:rPr>
          <w:rFonts w:ascii="David" w:cs="David" w:eastAsia="David" w:hAnsi="David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להלן</w:t>
      </w:r>
      <w:r w:rsidDel="00000000" w:rsidR="00000000" w:rsidRPr="00000000">
        <w:rPr>
          <w:rFonts w:ascii="David" w:cs="David" w:eastAsia="David" w:hAnsi="David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אדי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),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באפשרותו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אדי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להקנות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הזדמנויות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עסקיות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שוות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ערך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כלכלי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משמעותי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2A">
      <w:pPr>
        <w:bidi w:val="1"/>
        <w:spacing w:after="0" w:line="254" w:lineRule="auto"/>
        <w:ind w:left="720" w:firstLine="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ab/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רקע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האמור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ביום</w:t>
      </w:r>
      <w:r w:rsidDel="00000000" w:rsidR="00000000" w:rsidRPr="00000000">
        <w:rPr>
          <w:rFonts w:ascii="David" w:cs="David" w:eastAsia="David" w:hAnsi="David"/>
          <w:rtl w:val="1"/>
        </w:rPr>
        <w:t xml:space="preserve"> 09.04.2024, </w:t>
      </w:r>
      <w:r w:rsidDel="00000000" w:rsidR="00000000" w:rsidRPr="00000000">
        <w:rPr>
          <w:rFonts w:ascii="David" w:cs="David" w:eastAsia="David" w:hAnsi="David"/>
          <w:rtl w:val="1"/>
        </w:rPr>
        <w:t xml:space="preserve">מתוך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מטרה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לקדם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התקשרות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עסקית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אדי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בכדי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להיטיב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מצבו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הכלכלי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טס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מישראל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ללרנקה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שבקפריסין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ובהמשך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לכך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חצה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הגבול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היבשתי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שבין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קפריסין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היוונית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לקפריסין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הטורקית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והגיע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לבסוף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0"/>
        </w:rPr>
        <w:t xml:space="preserve">Samandag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במטרה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להיפגש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אדי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אנדריי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וג</w:t>
      </w:r>
      <w:r w:rsidDel="00000000" w:rsidR="00000000" w:rsidRPr="00000000">
        <w:rPr>
          <w:rFonts w:ascii="David" w:cs="David" w:eastAsia="David" w:hAnsi="David"/>
          <w:rtl w:val="1"/>
        </w:rPr>
        <w:t xml:space="preserve">'</w:t>
      </w:r>
      <w:r w:rsidDel="00000000" w:rsidR="00000000" w:rsidRPr="00000000">
        <w:rPr>
          <w:rFonts w:ascii="David" w:cs="David" w:eastAsia="David" w:hAnsi="David"/>
          <w:rtl w:val="1"/>
        </w:rPr>
        <w:t xml:space="preserve">ונייד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2C">
      <w:pPr>
        <w:bidi w:val="1"/>
        <w:spacing w:after="0" w:line="254" w:lineRule="auto"/>
        <w:ind w:left="720" w:firstLine="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ab/>
      </w:r>
      <w:r w:rsidDel="00000000" w:rsidR="00000000" w:rsidRPr="00000000">
        <w:rPr>
          <w:rFonts w:ascii="David" w:cs="David" w:eastAsia="David" w:hAnsi="David"/>
          <w:rtl w:val="1"/>
        </w:rPr>
        <w:t xml:space="preserve">במהלך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התקופה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שבין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09.04.2024 </w:t>
      </w:r>
      <w:r w:rsidDel="00000000" w:rsidR="00000000" w:rsidRPr="00000000">
        <w:rPr>
          <w:rFonts w:ascii="David" w:cs="David" w:eastAsia="David" w:hAnsi="David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rtl w:val="1"/>
        </w:rPr>
        <w:t xml:space="preserve">-30.04.2024,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במועד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שאינו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ידוע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בדיוק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למאשימה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ובעודו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שוהה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rtl w:val="1"/>
        </w:rPr>
        <w:t xml:space="preserve">- </w:t>
      </w:r>
      <w:r w:rsidDel="00000000" w:rsidR="00000000" w:rsidRPr="00000000">
        <w:rPr>
          <w:rFonts w:ascii="David" w:cs="David" w:eastAsia="David" w:hAnsi="David"/>
          <w:rtl w:val="0"/>
        </w:rPr>
        <w:t xml:space="preserve">Samandag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נפגש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שני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אנשים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נשלחו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לפגוש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אותו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ידי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אדי</w:t>
      </w:r>
      <w:r w:rsidDel="00000000" w:rsidR="00000000" w:rsidRPr="00000000">
        <w:rPr>
          <w:rFonts w:ascii="David" w:cs="David" w:eastAsia="David" w:hAnsi="David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להלן</w:t>
      </w:r>
      <w:r w:rsidDel="00000000" w:rsidR="00000000" w:rsidRPr="00000000">
        <w:rPr>
          <w:rFonts w:ascii="David" w:cs="David" w:eastAsia="David" w:hAnsi="David"/>
          <w:rtl w:val="1"/>
        </w:rPr>
        <w:t xml:space="preserve"> -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גלי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והאחר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בהתאמה</w:t>
      </w:r>
      <w:r w:rsidDel="00000000" w:rsidR="00000000" w:rsidRPr="00000000">
        <w:rPr>
          <w:rFonts w:ascii="David" w:cs="David" w:eastAsia="David" w:hAnsi="David"/>
          <w:rtl w:val="1"/>
        </w:rPr>
        <w:t xml:space="preserve">),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וזאת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בנוכחות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אנדריי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וג</w:t>
      </w:r>
      <w:r w:rsidDel="00000000" w:rsidR="00000000" w:rsidRPr="00000000">
        <w:rPr>
          <w:rFonts w:ascii="David" w:cs="David" w:eastAsia="David" w:hAnsi="David"/>
          <w:rtl w:val="1"/>
        </w:rPr>
        <w:t xml:space="preserve">'</w:t>
      </w:r>
      <w:r w:rsidDel="00000000" w:rsidR="00000000" w:rsidRPr="00000000">
        <w:rPr>
          <w:rFonts w:ascii="David" w:cs="David" w:eastAsia="David" w:hAnsi="David"/>
          <w:rtl w:val="1"/>
        </w:rPr>
        <w:t xml:space="preserve">ונייד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פגישה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נערכה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רקע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טענתו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אדי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נטענה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בפני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במהלך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מספר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שיחות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קוליות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ביישומון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הווטסאפ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שניהל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עמו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ממכשיר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הטלפון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הנייד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אנדריי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אדי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איננו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יכול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לצאת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מגבולות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איראן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טורקיה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וזאת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עקב</w:t>
      </w:r>
      <w:r w:rsidDel="00000000" w:rsidR="00000000" w:rsidRPr="00000000">
        <w:rPr>
          <w:rFonts w:ascii="David" w:cs="David" w:eastAsia="David" w:hAnsi="David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rtl w:val="1"/>
        </w:rPr>
        <w:t xml:space="preserve">קשיים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משפטיים</w:t>
      </w:r>
      <w:r w:rsidDel="00000000" w:rsidR="00000000" w:rsidRPr="00000000">
        <w:rPr>
          <w:rFonts w:ascii="David" w:cs="David" w:eastAsia="David" w:hAnsi="David"/>
          <w:rtl w:val="1"/>
        </w:rPr>
        <w:t xml:space="preserve">". </w:t>
      </w:r>
      <w:r w:rsidDel="00000000" w:rsidR="00000000" w:rsidRPr="00000000">
        <w:rPr>
          <w:rFonts w:ascii="David" w:cs="David" w:eastAsia="David" w:hAnsi="David"/>
          <w:rtl w:val="1"/>
        </w:rPr>
        <w:t xml:space="preserve">בפגישה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שוחחו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גלי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והאחר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אודות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אפשרויות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עסקיות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שונות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2E">
      <w:pPr>
        <w:bidi w:val="1"/>
        <w:spacing w:after="0" w:line="254" w:lineRule="auto"/>
        <w:ind w:left="720" w:firstLine="0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ab/>
      </w:r>
      <w:r w:rsidDel="00000000" w:rsidR="00000000" w:rsidRPr="00000000">
        <w:rPr>
          <w:rFonts w:ascii="David" w:cs="David" w:eastAsia="David" w:hAnsi="David"/>
          <w:rtl w:val="1"/>
        </w:rPr>
        <w:t xml:space="preserve">במועד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סמוך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לכך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הגיעה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זוגו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rtl w:val="1"/>
        </w:rPr>
        <w:t xml:space="preserve">- </w:t>
      </w:r>
      <w:r w:rsidDel="00000000" w:rsidR="00000000" w:rsidRPr="00000000">
        <w:rPr>
          <w:rFonts w:ascii="David" w:cs="David" w:eastAsia="David" w:hAnsi="David"/>
          <w:rtl w:val="0"/>
        </w:rPr>
        <w:t xml:space="preserve">Samandag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ונפגשה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השניים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שהו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rtl w:val="1"/>
        </w:rPr>
        <w:t xml:space="preserve">- </w:t>
      </w:r>
      <w:r w:rsidDel="00000000" w:rsidR="00000000" w:rsidRPr="00000000">
        <w:rPr>
          <w:rFonts w:ascii="David" w:cs="David" w:eastAsia="David" w:hAnsi="David"/>
          <w:rtl w:val="0"/>
        </w:rPr>
        <w:t xml:space="preserve">Samandag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למשך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מספר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ימים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סמוך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לפני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יום</w:t>
      </w:r>
      <w:r w:rsidDel="00000000" w:rsidR="00000000" w:rsidRPr="00000000">
        <w:rPr>
          <w:rFonts w:ascii="David" w:cs="David" w:eastAsia="David" w:hAnsi="David"/>
          <w:rtl w:val="1"/>
        </w:rPr>
        <w:t xml:space="preserve"> 30.04.2024, </w:t>
      </w:r>
      <w:r w:rsidDel="00000000" w:rsidR="00000000" w:rsidRPr="00000000">
        <w:rPr>
          <w:rFonts w:ascii="David" w:cs="David" w:eastAsia="David" w:hAnsi="David"/>
          <w:rtl w:val="1"/>
        </w:rPr>
        <w:t xml:space="preserve">טסו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ובת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זוגו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לארג</w:t>
      </w:r>
      <w:r w:rsidDel="00000000" w:rsidR="00000000" w:rsidRPr="00000000">
        <w:rPr>
          <w:rFonts w:ascii="David" w:cs="David" w:eastAsia="David" w:hAnsi="David"/>
          <w:rtl w:val="1"/>
        </w:rPr>
        <w:t xml:space="preserve">'</w:t>
      </w:r>
      <w:r w:rsidDel="00000000" w:rsidR="00000000" w:rsidRPr="00000000">
        <w:rPr>
          <w:rFonts w:ascii="David" w:cs="David" w:eastAsia="David" w:hAnsi="David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שבקפריסין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הטורקית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ומשם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נסעו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לרנקה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שבקפריסין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היוונית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וזאת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במטרה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להמשיך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בטיסה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נוספת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בלארוס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בה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התגוררה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הזוג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באותה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העת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30">
      <w:pPr>
        <w:bidi w:val="1"/>
        <w:spacing w:after="0" w:line="254" w:lineRule="auto"/>
        <w:ind w:left="720" w:firstLine="0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ab/>
      </w:r>
      <w:r w:rsidDel="00000000" w:rsidR="00000000" w:rsidRPr="00000000">
        <w:rPr>
          <w:rFonts w:ascii="David" w:cs="David" w:eastAsia="David" w:hAnsi="David"/>
          <w:rtl w:val="1"/>
        </w:rPr>
        <w:t xml:space="preserve">לאחר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הגעתם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ובת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זוגו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ללרנקה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ביום</w:t>
      </w:r>
      <w:r w:rsidDel="00000000" w:rsidR="00000000" w:rsidRPr="00000000">
        <w:rPr>
          <w:rFonts w:ascii="David" w:cs="David" w:eastAsia="David" w:hAnsi="David"/>
          <w:rtl w:val="1"/>
        </w:rPr>
        <w:t xml:space="preserve"> 30.04.2024 </w:t>
      </w:r>
      <w:r w:rsidDel="00000000" w:rsidR="00000000" w:rsidRPr="00000000">
        <w:rPr>
          <w:rFonts w:ascii="David" w:cs="David" w:eastAsia="David" w:hAnsi="David"/>
          <w:rtl w:val="1"/>
        </w:rPr>
        <w:t xml:space="preserve">בשעה</w:t>
      </w:r>
      <w:r w:rsidDel="00000000" w:rsidR="00000000" w:rsidRPr="00000000">
        <w:rPr>
          <w:rFonts w:ascii="David" w:cs="David" w:eastAsia="David" w:hAnsi="David"/>
          <w:rtl w:val="1"/>
        </w:rPr>
        <w:t xml:space="preserve"> 18:18, </w:t>
      </w:r>
      <w:r w:rsidDel="00000000" w:rsidR="00000000" w:rsidRPr="00000000">
        <w:rPr>
          <w:rFonts w:ascii="David" w:cs="David" w:eastAsia="David" w:hAnsi="David"/>
          <w:rtl w:val="1"/>
        </w:rPr>
        <w:t xml:space="preserve">שוחח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אדי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באמצעות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הודעות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קוליות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בווטסאפ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שהועברו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דרך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אנדריי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ובשיחה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הפציר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אדי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לשוב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טורקיה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ולהיפגש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עמו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לצורך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קידום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עסקים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משותפים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בשעה</w:t>
      </w:r>
      <w:r w:rsidDel="00000000" w:rsidR="00000000" w:rsidRPr="00000000">
        <w:rPr>
          <w:rFonts w:ascii="David" w:cs="David" w:eastAsia="David" w:hAnsi="David"/>
          <w:rtl w:val="1"/>
        </w:rPr>
        <w:t xml:space="preserve"> 18:20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אישר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לאדי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ישוב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טורקיה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למטרת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קיום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פגישה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כאמור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32">
      <w:pPr>
        <w:bidi w:val="1"/>
        <w:spacing w:after="0" w:line="254" w:lineRule="auto"/>
        <w:ind w:left="720" w:firstLine="0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0"/>
        </w:rPr>
        <w:tab/>
      </w:r>
      <w:r w:rsidDel="00000000" w:rsidR="00000000" w:rsidRPr="00000000">
        <w:rPr>
          <w:rFonts w:ascii="David" w:cs="David" w:eastAsia="David" w:hAnsi="David"/>
          <w:rtl w:val="0"/>
        </w:rPr>
        <w:t xml:space="preserve">Yuksekova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הינו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כפר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השוכן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בחלקה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המזרחי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טורקיה</w:t>
      </w:r>
      <w:r w:rsidDel="00000000" w:rsidR="00000000" w:rsidRPr="00000000">
        <w:rPr>
          <w:rFonts w:ascii="David" w:cs="David" w:eastAsia="David" w:hAnsi="David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להלן</w:t>
      </w:r>
      <w:r w:rsidDel="00000000" w:rsidR="00000000" w:rsidRPr="00000000">
        <w:rPr>
          <w:rFonts w:ascii="David" w:cs="David" w:eastAsia="David" w:hAnsi="David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הכפר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),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וממוקם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במרחק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נסיעה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rtl w:val="1"/>
        </w:rPr>
        <w:t xml:space="preserve">-40 </w:t>
      </w:r>
      <w:r w:rsidDel="00000000" w:rsidR="00000000" w:rsidRPr="00000000">
        <w:rPr>
          <w:rFonts w:ascii="David" w:cs="David" w:eastAsia="David" w:hAnsi="David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ממעבר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הגבול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היבשתי</w:t>
      </w:r>
      <w:r w:rsidDel="00000000" w:rsidR="00000000" w:rsidRPr="00000000">
        <w:rPr>
          <w:rFonts w:ascii="David" w:cs="David" w:eastAsia="David" w:hAnsi="David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rtl w:val="0"/>
        </w:rPr>
        <w:t xml:space="preserve">Sero</w:t>
      </w:r>
      <w:r w:rsidDel="00000000" w:rsidR="00000000" w:rsidRPr="00000000">
        <w:rPr>
          <w:rFonts w:ascii="David" w:cs="David" w:eastAsia="David" w:hAnsi="David"/>
          <w:rtl w:val="0"/>
        </w:rPr>
        <w:t xml:space="preserve"> </w:t>
      </w:r>
      <w:r w:rsidDel="00000000" w:rsidR="00000000" w:rsidRPr="00000000">
        <w:rPr>
          <w:rFonts w:ascii="David" w:cs="David" w:eastAsia="David" w:hAnsi="David"/>
          <w:rtl w:val="0"/>
        </w:rPr>
        <w:t xml:space="preserve">Border</w:t>
      </w:r>
      <w:r w:rsidDel="00000000" w:rsidR="00000000" w:rsidRPr="00000000">
        <w:rPr>
          <w:rFonts w:ascii="David" w:cs="David" w:eastAsia="David" w:hAnsi="David"/>
          <w:rtl w:val="0"/>
        </w:rPr>
        <w:t xml:space="preserve"> </w:t>
      </w:r>
      <w:r w:rsidDel="00000000" w:rsidR="00000000" w:rsidRPr="00000000">
        <w:rPr>
          <w:rFonts w:ascii="David" w:cs="David" w:eastAsia="David" w:hAnsi="David"/>
          <w:rtl w:val="0"/>
        </w:rPr>
        <w:t xml:space="preserve">Terminal</w:t>
      </w:r>
      <w:r w:rsidDel="00000000" w:rsidR="00000000" w:rsidRPr="00000000">
        <w:rPr>
          <w:rFonts w:ascii="David" w:cs="David" w:eastAsia="David" w:hAnsi="David"/>
          <w:rtl w:val="1"/>
        </w:rPr>
        <w:t xml:space="preserve">" (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להלן</w:t>
      </w:r>
      <w:r w:rsidDel="00000000" w:rsidR="00000000" w:rsidRPr="00000000">
        <w:rPr>
          <w:rFonts w:ascii="David" w:cs="David" w:eastAsia="David" w:hAnsi="David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מעבר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הגבול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), </w:t>
      </w:r>
      <w:r w:rsidDel="00000000" w:rsidR="00000000" w:rsidRPr="00000000">
        <w:rPr>
          <w:rFonts w:ascii="David" w:cs="David" w:eastAsia="David" w:hAnsi="David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מקשר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המדינות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טורקיה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ואיראן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34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ab/>
      </w:r>
      <w:r w:rsidDel="00000000" w:rsidR="00000000" w:rsidRPr="00000000">
        <w:rPr>
          <w:rFonts w:ascii="David" w:cs="David" w:eastAsia="David" w:hAnsi="David"/>
          <w:rtl w:val="1"/>
        </w:rPr>
        <w:t xml:space="preserve">ביום</w:t>
      </w:r>
      <w:r w:rsidDel="00000000" w:rsidR="00000000" w:rsidRPr="00000000">
        <w:rPr>
          <w:rFonts w:ascii="David" w:cs="David" w:eastAsia="David" w:hAnsi="David"/>
          <w:rtl w:val="1"/>
        </w:rPr>
        <w:t xml:space="preserve"> 01.05.2024,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המריא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מלרנקה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לאדנה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שבטורקיה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לאחר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נחיתתו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באדנה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סמוך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לשעה</w:t>
      </w:r>
      <w:r w:rsidDel="00000000" w:rsidR="00000000" w:rsidRPr="00000000">
        <w:rPr>
          <w:rFonts w:ascii="David" w:cs="David" w:eastAsia="David" w:hAnsi="David"/>
          <w:rtl w:val="1"/>
        </w:rPr>
        <w:t xml:space="preserve"> 13:12, </w:t>
      </w:r>
      <w:r w:rsidDel="00000000" w:rsidR="00000000" w:rsidRPr="00000000">
        <w:rPr>
          <w:rFonts w:ascii="David" w:cs="David" w:eastAsia="David" w:hAnsi="David"/>
          <w:rtl w:val="1"/>
        </w:rPr>
        <w:t xml:space="preserve">פגש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בג</w:t>
      </w:r>
      <w:r w:rsidDel="00000000" w:rsidR="00000000" w:rsidRPr="00000000">
        <w:rPr>
          <w:rFonts w:ascii="David" w:cs="David" w:eastAsia="David" w:hAnsi="David"/>
          <w:rtl w:val="1"/>
        </w:rPr>
        <w:t xml:space="preserve">'</w:t>
      </w:r>
      <w:r w:rsidDel="00000000" w:rsidR="00000000" w:rsidRPr="00000000">
        <w:rPr>
          <w:rFonts w:ascii="David" w:cs="David" w:eastAsia="David" w:hAnsi="David"/>
          <w:rtl w:val="1"/>
        </w:rPr>
        <w:t xml:space="preserve">ונייד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אנדריי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גלי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והאחר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הארבעה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הסיעוהו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לעיר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ואן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שבמזרח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טורקיה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ולמחרת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בתאריך</w:t>
      </w:r>
      <w:r w:rsidDel="00000000" w:rsidR="00000000" w:rsidRPr="00000000">
        <w:rPr>
          <w:rFonts w:ascii="David" w:cs="David" w:eastAsia="David" w:hAnsi="David"/>
          <w:rtl w:val="1"/>
        </w:rPr>
        <w:t xml:space="preserve"> 02.05.2024, </w:t>
      </w:r>
      <w:r w:rsidDel="00000000" w:rsidR="00000000" w:rsidRPr="00000000">
        <w:rPr>
          <w:rFonts w:ascii="David" w:cs="David" w:eastAsia="David" w:hAnsi="David"/>
          <w:rtl w:val="1"/>
        </w:rPr>
        <w:t xml:space="preserve">הסיעו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הארבעה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הכפר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למלון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0"/>
        </w:rPr>
        <w:t xml:space="preserve">Double</w:t>
      </w:r>
      <w:r w:rsidDel="00000000" w:rsidR="00000000" w:rsidRPr="00000000">
        <w:rPr>
          <w:rFonts w:ascii="David" w:cs="David" w:eastAsia="David" w:hAnsi="David"/>
          <w:rtl w:val="0"/>
        </w:rPr>
        <w:t xml:space="preserve"> </w:t>
      </w:r>
      <w:r w:rsidDel="00000000" w:rsidR="00000000" w:rsidRPr="00000000">
        <w:rPr>
          <w:rFonts w:ascii="David" w:cs="David" w:eastAsia="David" w:hAnsi="David"/>
          <w:rtl w:val="0"/>
        </w:rPr>
        <w:t xml:space="preserve">Tree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השייך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לרשת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הילטון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להלן</w:t>
      </w:r>
      <w:r w:rsidDel="00000000" w:rsidR="00000000" w:rsidRPr="00000000">
        <w:rPr>
          <w:rFonts w:ascii="David" w:cs="David" w:eastAsia="David" w:hAnsi="David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מלון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הילטון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),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הנמצא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בכפר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</w:p>
    <w:p w:rsidR="00000000" w:rsidDel="00000000" w:rsidP="00000000" w:rsidRDefault="00000000" w:rsidRPr="00000000" w14:paraId="00000036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ab/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שהה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יחד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אנדריי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rtl w:val="1"/>
        </w:rPr>
        <w:t xml:space="preserve">'</w:t>
      </w:r>
      <w:r w:rsidDel="00000000" w:rsidR="00000000" w:rsidRPr="00000000">
        <w:rPr>
          <w:rFonts w:ascii="David" w:cs="David" w:eastAsia="David" w:hAnsi="David"/>
          <w:rtl w:val="1"/>
        </w:rPr>
        <w:t xml:space="preserve">ונייד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גלי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והאחר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במלון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הילטון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ליום</w:t>
      </w:r>
      <w:r w:rsidDel="00000000" w:rsidR="00000000" w:rsidRPr="00000000">
        <w:rPr>
          <w:rFonts w:ascii="David" w:cs="David" w:eastAsia="David" w:hAnsi="David"/>
          <w:rtl w:val="1"/>
        </w:rPr>
        <w:t xml:space="preserve"> 05.05.2024.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במהלך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שהותו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במלון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שוחח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מספר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פעמים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אדי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באמצעות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מכשיר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הטלפון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הנייד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אנדריי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בעת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קיום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שיחות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אלה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הזמין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אדי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להגיע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לאיראן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ולפגוש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למטרת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קידום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עסקים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משותפים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תוך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שאדי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מפציר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ליתן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אמון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ולעשות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כן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38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0"/>
        </w:rPr>
        <w:tab/>
      </w:r>
    </w:p>
    <w:p w:rsidR="00000000" w:rsidDel="00000000" w:rsidP="00000000" w:rsidRDefault="00000000" w:rsidRPr="00000000" w14:paraId="00000039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ab/>
      </w:r>
      <w:r w:rsidDel="00000000" w:rsidR="00000000" w:rsidRPr="00000000">
        <w:rPr>
          <w:rFonts w:ascii="David" w:cs="David" w:eastAsia="David" w:hAnsi="David"/>
          <w:rtl w:val="1"/>
        </w:rPr>
        <w:t xml:space="preserve">עלות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שהותו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במלון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הילטון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שולמה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מטעמו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אדי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בידי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גלי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והאחר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הזמינו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אותו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לסעוד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עמם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אנדריי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rtl w:val="1"/>
        </w:rPr>
        <w:t xml:space="preserve">'</w:t>
      </w:r>
      <w:r w:rsidDel="00000000" w:rsidR="00000000" w:rsidRPr="00000000">
        <w:rPr>
          <w:rFonts w:ascii="David" w:cs="David" w:eastAsia="David" w:hAnsi="David"/>
          <w:rtl w:val="1"/>
        </w:rPr>
        <w:t xml:space="preserve">ונייד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במסעדת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המלון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3A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ab/>
      </w:r>
      <w:r w:rsidDel="00000000" w:rsidR="00000000" w:rsidRPr="00000000">
        <w:rPr>
          <w:rFonts w:ascii="David" w:cs="David" w:eastAsia="David" w:hAnsi="David"/>
          <w:rtl w:val="1"/>
        </w:rPr>
        <w:t xml:space="preserve">ביום</w:t>
      </w:r>
      <w:r w:rsidDel="00000000" w:rsidR="00000000" w:rsidRPr="00000000">
        <w:rPr>
          <w:rFonts w:ascii="David" w:cs="David" w:eastAsia="David" w:hAnsi="David"/>
          <w:rtl w:val="1"/>
        </w:rPr>
        <w:t xml:space="preserve"> 05.05.2024,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רקע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השיחות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שנערכו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לבין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אדי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כאמור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מעלה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ובהמשך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לאירוח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במלון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הילטון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נאות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להגיע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לאיראן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למטרת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פגישה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אדי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בכדי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לקדם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עסקיו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באותו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היום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סמוך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לפני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השעה</w:t>
      </w:r>
      <w:r w:rsidDel="00000000" w:rsidR="00000000" w:rsidRPr="00000000">
        <w:rPr>
          <w:rFonts w:ascii="David" w:cs="David" w:eastAsia="David" w:hAnsi="David"/>
          <w:rtl w:val="1"/>
        </w:rPr>
        <w:t xml:space="preserve"> 09:00, </w:t>
      </w:r>
      <w:r w:rsidDel="00000000" w:rsidR="00000000" w:rsidRPr="00000000">
        <w:rPr>
          <w:rFonts w:ascii="David" w:cs="David" w:eastAsia="David" w:hAnsi="David"/>
          <w:rtl w:val="1"/>
        </w:rPr>
        <w:t xml:space="preserve">הותיר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מכשיר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הטלפון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הנייד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שלו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וכן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ציודו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האישי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במלון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הילטון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בידי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אנדריי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שנותר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במלון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3C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ab/>
      </w:r>
      <w:r w:rsidDel="00000000" w:rsidR="00000000" w:rsidRPr="00000000">
        <w:rPr>
          <w:rFonts w:ascii="David" w:cs="David" w:eastAsia="David" w:hAnsi="David"/>
          <w:rtl w:val="1"/>
        </w:rPr>
        <w:t xml:space="preserve">בהמשך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לכך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סמוך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לאחר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השעה</w:t>
      </w:r>
      <w:r w:rsidDel="00000000" w:rsidR="00000000" w:rsidRPr="00000000">
        <w:rPr>
          <w:rFonts w:ascii="David" w:cs="David" w:eastAsia="David" w:hAnsi="David"/>
          <w:rtl w:val="1"/>
        </w:rPr>
        <w:t xml:space="preserve"> 14:00, </w:t>
      </w:r>
      <w:r w:rsidDel="00000000" w:rsidR="00000000" w:rsidRPr="00000000">
        <w:rPr>
          <w:rFonts w:ascii="David" w:cs="David" w:eastAsia="David" w:hAnsi="David"/>
          <w:rtl w:val="1"/>
        </w:rPr>
        <w:t xml:space="preserve">הגיע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מעבר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הגבול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יחד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rtl w:val="1"/>
        </w:rPr>
        <w:t xml:space="preserve">'</w:t>
      </w:r>
      <w:r w:rsidDel="00000000" w:rsidR="00000000" w:rsidRPr="00000000">
        <w:rPr>
          <w:rFonts w:ascii="David" w:cs="David" w:eastAsia="David" w:hAnsi="David"/>
          <w:rtl w:val="1"/>
        </w:rPr>
        <w:t xml:space="preserve">ונייד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והוברח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מבעד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למעבר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הגבול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בידי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גלי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ואחרים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מבלי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להציג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דרכונו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לעבור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בביקורת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הגבולות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3E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ab/>
      </w:r>
      <w:r w:rsidDel="00000000" w:rsidR="00000000" w:rsidRPr="00000000">
        <w:rPr>
          <w:rFonts w:ascii="David" w:cs="David" w:eastAsia="David" w:hAnsi="David"/>
          <w:rtl w:val="1"/>
        </w:rPr>
        <w:t xml:space="preserve">מספר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דקות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לאחר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שהוברח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אדמת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איראן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בסמוך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למעבר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הגבול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פגש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באדי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קידם</w:t>
      </w:r>
      <w:r w:rsidDel="00000000" w:rsidR="00000000" w:rsidRPr="00000000">
        <w:rPr>
          <w:rFonts w:ascii="David" w:cs="David" w:eastAsia="David" w:hAnsi="David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פני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כאשר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יחד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עמו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אדם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נוסף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התייצג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בפני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rtl w:val="1"/>
        </w:rPr>
        <w:t xml:space="preserve">חאג</w:t>
      </w:r>
      <w:r w:rsidDel="00000000" w:rsidR="00000000" w:rsidRPr="00000000">
        <w:rPr>
          <w:rFonts w:ascii="David" w:cs="David" w:eastAsia="David" w:hAnsi="David"/>
          <w:rtl w:val="1"/>
        </w:rPr>
        <w:t xml:space="preserve">'</w:t>
      </w:r>
      <w:r w:rsidDel="00000000" w:rsidR="00000000" w:rsidRPr="00000000">
        <w:rPr>
          <w:rFonts w:ascii="David" w:cs="David" w:eastAsia="David" w:hAnsi="David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rtl w:val="1"/>
        </w:rPr>
        <w:t xml:space="preserve">" (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להלן</w:t>
      </w:r>
      <w:r w:rsidDel="00000000" w:rsidR="00000000" w:rsidRPr="00000000">
        <w:rPr>
          <w:rFonts w:ascii="David" w:cs="David" w:eastAsia="David" w:hAnsi="David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חאג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'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),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ואשר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מטעם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מנגנוני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הביטחון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האיראניים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דבר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ידוע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באותו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השלב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במעמד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שוחח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אדי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וחאג</w:t>
      </w:r>
      <w:r w:rsidDel="00000000" w:rsidR="00000000" w:rsidRPr="00000000">
        <w:rPr>
          <w:rFonts w:ascii="David" w:cs="David" w:eastAsia="David" w:hAnsi="David"/>
          <w:rtl w:val="1"/>
        </w:rPr>
        <w:t xml:space="preserve">'</w:t>
      </w:r>
      <w:r w:rsidDel="00000000" w:rsidR="00000000" w:rsidRPr="00000000">
        <w:rPr>
          <w:rFonts w:ascii="David" w:cs="David" w:eastAsia="David" w:hAnsi="David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אודות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אפשרות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ביצוע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עסקים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אדי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ובהמשך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נאות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להתלוות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אדי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וחאג</w:t>
      </w:r>
      <w:r w:rsidDel="00000000" w:rsidR="00000000" w:rsidRPr="00000000">
        <w:rPr>
          <w:rFonts w:ascii="David" w:cs="David" w:eastAsia="David" w:hAnsi="David"/>
          <w:rtl w:val="1"/>
        </w:rPr>
        <w:t xml:space="preserve">'</w:t>
      </w:r>
      <w:r w:rsidDel="00000000" w:rsidR="00000000" w:rsidRPr="00000000">
        <w:rPr>
          <w:rFonts w:ascii="David" w:cs="David" w:eastAsia="David" w:hAnsi="David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לנסיעה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משותפת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ווילה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נטען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הינה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בבעלות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אדי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40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  <w:tab/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נסע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יחד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אדי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חאג</w:t>
      </w:r>
      <w:r w:rsidDel="00000000" w:rsidR="00000000" w:rsidRPr="00000000">
        <w:rPr>
          <w:rFonts w:ascii="David" w:cs="David" w:eastAsia="David" w:hAnsi="David"/>
          <w:rtl w:val="1"/>
        </w:rPr>
        <w:t xml:space="preserve">'</w:t>
      </w:r>
      <w:r w:rsidDel="00000000" w:rsidR="00000000" w:rsidRPr="00000000">
        <w:rPr>
          <w:rFonts w:ascii="David" w:cs="David" w:eastAsia="David" w:hAnsi="David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וג</w:t>
      </w:r>
      <w:r w:rsidDel="00000000" w:rsidR="00000000" w:rsidRPr="00000000">
        <w:rPr>
          <w:rFonts w:ascii="David" w:cs="David" w:eastAsia="David" w:hAnsi="David"/>
          <w:rtl w:val="1"/>
        </w:rPr>
        <w:t xml:space="preserve">'</w:t>
      </w:r>
      <w:r w:rsidDel="00000000" w:rsidR="00000000" w:rsidRPr="00000000">
        <w:rPr>
          <w:rFonts w:ascii="David" w:cs="David" w:eastAsia="David" w:hAnsi="David"/>
          <w:rtl w:val="1"/>
        </w:rPr>
        <w:t xml:space="preserve">ונייד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ברכב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וכעבור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rtl w:val="1"/>
        </w:rPr>
        <w:t xml:space="preserve">-35 </w:t>
      </w:r>
      <w:r w:rsidDel="00000000" w:rsidR="00000000" w:rsidRPr="00000000">
        <w:rPr>
          <w:rFonts w:ascii="David" w:cs="David" w:eastAsia="David" w:hAnsi="David"/>
          <w:rtl w:val="1"/>
        </w:rPr>
        <w:t xml:space="preserve">דקות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סמוך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לשעה</w:t>
      </w:r>
      <w:r w:rsidDel="00000000" w:rsidR="00000000" w:rsidRPr="00000000">
        <w:rPr>
          <w:rFonts w:ascii="David" w:cs="David" w:eastAsia="David" w:hAnsi="David"/>
          <w:rtl w:val="1"/>
        </w:rPr>
        <w:t xml:space="preserve"> 15:00, </w:t>
      </w:r>
      <w:r w:rsidDel="00000000" w:rsidR="00000000" w:rsidRPr="00000000">
        <w:rPr>
          <w:rFonts w:ascii="David" w:cs="David" w:eastAsia="David" w:hAnsi="David"/>
          <w:rtl w:val="1"/>
        </w:rPr>
        <w:t xml:space="preserve">הגיע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עמם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לווילה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מפוארת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הנמצאת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בסמוך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לגבול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האיראני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בנקודה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גיאוגרפית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שאינה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ידועה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במדויק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למאשימה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להלן</w:t>
      </w:r>
      <w:r w:rsidDel="00000000" w:rsidR="00000000" w:rsidRPr="00000000">
        <w:rPr>
          <w:rFonts w:ascii="David" w:cs="David" w:eastAsia="David" w:hAnsi="David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הווילה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האיראנית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). </w:t>
      </w:r>
      <w:r w:rsidDel="00000000" w:rsidR="00000000" w:rsidRPr="00000000">
        <w:rPr>
          <w:rFonts w:ascii="David" w:cs="David" w:eastAsia="David" w:hAnsi="David"/>
          <w:rtl w:val="1"/>
        </w:rPr>
        <w:t xml:space="preserve">בהמשך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התלווה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אדי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וחאג</w:t>
      </w:r>
      <w:r w:rsidDel="00000000" w:rsidR="00000000" w:rsidRPr="00000000">
        <w:rPr>
          <w:rFonts w:ascii="David" w:cs="David" w:eastAsia="David" w:hAnsi="David"/>
          <w:rtl w:val="1"/>
        </w:rPr>
        <w:t xml:space="preserve">'</w:t>
      </w:r>
      <w:r w:rsidDel="00000000" w:rsidR="00000000" w:rsidRPr="00000000">
        <w:rPr>
          <w:rFonts w:ascii="David" w:cs="David" w:eastAsia="David" w:hAnsi="David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לסיור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באזור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ונסע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עמם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למלון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מפואר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הממוקם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בסמוך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לווילה</w:t>
      </w:r>
      <w:r w:rsidDel="00000000" w:rsidR="00000000" w:rsidRPr="00000000">
        <w:rPr>
          <w:rFonts w:ascii="David" w:cs="David" w:eastAsia="David" w:hAnsi="David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להלן</w:t>
      </w:r>
      <w:r w:rsidDel="00000000" w:rsidR="00000000" w:rsidRPr="00000000">
        <w:rPr>
          <w:rFonts w:ascii="David" w:cs="David" w:eastAsia="David" w:hAnsi="David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המלון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האיראני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), </w:t>
      </w:r>
      <w:r w:rsidDel="00000000" w:rsidR="00000000" w:rsidRPr="00000000">
        <w:rPr>
          <w:rFonts w:ascii="David" w:cs="David" w:eastAsia="David" w:hAnsi="David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הוצג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בידי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אדי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כמלון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המצוי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בבעלותו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אדי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42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ab/>
      </w:r>
      <w:r w:rsidDel="00000000" w:rsidR="00000000" w:rsidRPr="00000000">
        <w:rPr>
          <w:rFonts w:ascii="David" w:cs="David" w:eastAsia="David" w:hAnsi="David"/>
          <w:rtl w:val="1"/>
        </w:rPr>
        <w:t xml:space="preserve">בעודם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במלון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האיראני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נערכה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פגישה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לבין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אדי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וחאג</w:t>
      </w:r>
      <w:r w:rsidDel="00000000" w:rsidR="00000000" w:rsidRPr="00000000">
        <w:rPr>
          <w:rFonts w:ascii="David" w:cs="David" w:eastAsia="David" w:hAnsi="David"/>
          <w:rtl w:val="1"/>
        </w:rPr>
        <w:t xml:space="preserve">'</w:t>
      </w:r>
      <w:r w:rsidDel="00000000" w:rsidR="00000000" w:rsidRPr="00000000">
        <w:rPr>
          <w:rFonts w:ascii="David" w:cs="David" w:eastAsia="David" w:hAnsi="David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במהלך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פגישה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חזר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מספר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פעמים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שהינו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מצוי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במצב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כלכלי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גרוע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הגיע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לאיראן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מתוך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מניע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כלכלי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רקע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נשאל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ידי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אדי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בדבר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נכונותו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לביצוע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משימות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עבור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המשטר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האיראני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44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ab/>
      </w:r>
      <w:r w:rsidDel="00000000" w:rsidR="00000000" w:rsidRPr="00000000">
        <w:rPr>
          <w:rFonts w:ascii="David" w:cs="David" w:eastAsia="David" w:hAnsi="David"/>
          <w:rtl w:val="1"/>
        </w:rPr>
        <w:t xml:space="preserve">בהמשך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לכך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במסגרת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אותה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הפגישה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שוחח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אדי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אודות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אפשרות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ביצוע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המשימות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הבאות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אדמת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עבור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המשטר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האיראני</w:t>
      </w:r>
      <w:r w:rsidDel="00000000" w:rsidR="00000000" w:rsidRPr="00000000">
        <w:rPr>
          <w:rFonts w:ascii="David" w:cs="David" w:eastAsia="David" w:hAnsi="David"/>
          <w:rtl w:val="1"/>
        </w:rPr>
        <w:t xml:space="preserve">:</w:t>
      </w:r>
    </w:p>
    <w:p w:rsidR="00000000" w:rsidDel="00000000" w:rsidP="00000000" w:rsidRDefault="00000000" w:rsidRPr="00000000" w14:paraId="00000046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bidi w:val="1"/>
        <w:spacing w:line="360" w:lineRule="auto"/>
        <w:ind w:left="720" w:firstLine="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(1) </w:t>
      </w:r>
      <w:r w:rsidDel="00000000" w:rsidR="00000000" w:rsidRPr="00000000">
        <w:rPr>
          <w:rFonts w:ascii="David" w:cs="David" w:eastAsia="David" w:hAnsi="David"/>
          <w:rtl w:val="1"/>
        </w:rPr>
        <w:t xml:space="preserve">השלשת</w:t>
      </w:r>
      <w:r w:rsidDel="00000000" w:rsidR="00000000" w:rsidRPr="00000000">
        <w:rPr>
          <w:rFonts w:ascii="David" w:cs="David" w:eastAsia="David" w:hAnsi="David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rtl w:val="1"/>
        </w:rPr>
        <w:t xml:space="preserve">הטמנת</w:t>
      </w:r>
      <w:r w:rsidDel="00000000" w:rsidR="00000000" w:rsidRPr="00000000">
        <w:rPr>
          <w:rFonts w:ascii="David" w:cs="David" w:eastAsia="David" w:hAnsi="David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rtl w:val="1"/>
        </w:rPr>
        <w:t xml:space="preserve">כספים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אקדח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בנקודות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משלש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ומשלוח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נקודות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ציון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גיאוגרפיות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נקודות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אלה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בהן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הוטמנו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הכספים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הנשק</w:t>
      </w:r>
      <w:r w:rsidDel="00000000" w:rsidR="00000000" w:rsidRPr="00000000">
        <w:rPr>
          <w:rFonts w:ascii="David" w:cs="David" w:eastAsia="David" w:hAnsi="David"/>
          <w:rtl w:val="1"/>
        </w:rPr>
        <w:t xml:space="preserve">;</w:t>
      </w:r>
    </w:p>
    <w:p w:rsidR="00000000" w:rsidDel="00000000" w:rsidP="00000000" w:rsidRDefault="00000000" w:rsidRPr="00000000" w14:paraId="00000048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bidi w:val="1"/>
        <w:spacing w:line="360" w:lineRule="auto"/>
        <w:ind w:left="720" w:firstLine="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(2) </w:t>
      </w:r>
      <w:r w:rsidDel="00000000" w:rsidR="00000000" w:rsidRPr="00000000">
        <w:rPr>
          <w:rFonts w:ascii="David" w:cs="David" w:eastAsia="David" w:hAnsi="David"/>
          <w:rtl w:val="1"/>
        </w:rPr>
        <w:t xml:space="preserve">צילום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מקומות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שונים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בארץ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שהינם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מקומות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הומי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אדם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ושליחת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התמונות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לגורמים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איראניים</w:t>
      </w:r>
      <w:r w:rsidDel="00000000" w:rsidR="00000000" w:rsidRPr="00000000">
        <w:rPr>
          <w:rFonts w:ascii="David" w:cs="David" w:eastAsia="David" w:hAnsi="David"/>
          <w:rtl w:val="1"/>
        </w:rPr>
        <w:t xml:space="preserve">;</w:t>
      </w:r>
    </w:p>
    <w:p w:rsidR="00000000" w:rsidDel="00000000" w:rsidP="00000000" w:rsidRDefault="00000000" w:rsidRPr="00000000" w14:paraId="0000004A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bidi w:val="1"/>
        <w:spacing w:line="360" w:lineRule="auto"/>
        <w:ind w:left="720" w:firstLine="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(3) </w:t>
      </w:r>
      <w:r w:rsidDel="00000000" w:rsidR="00000000" w:rsidRPr="00000000">
        <w:rPr>
          <w:rFonts w:ascii="David" w:cs="David" w:eastAsia="David" w:hAnsi="David"/>
          <w:rtl w:val="1"/>
        </w:rPr>
        <w:t xml:space="preserve">אזהרת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ערבים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בעלי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אזרחות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ישראלית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המתגוררים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בארץ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קיבלו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כספים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מטעם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גורמים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איראניים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למטרת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ביצוע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משימות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עוינות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אדמת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אך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ביצעו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בפועל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משימות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אלה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באזהרה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שמקורה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בגורמים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מטעם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המשטר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האיראני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4C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ab/>
      </w:r>
      <w:r w:rsidDel="00000000" w:rsidR="00000000" w:rsidRPr="00000000">
        <w:rPr>
          <w:rFonts w:ascii="David" w:cs="David" w:eastAsia="David" w:hAnsi="David"/>
          <w:rtl w:val="1"/>
        </w:rPr>
        <w:t xml:space="preserve">לאחר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שהוצגה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אפשרות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ביצוען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המשימות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שפורטו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לעיל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הודיע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לאדי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יבדוק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כיצד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ניתן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לבצען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וישיב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לאדי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בנדון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אף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האמור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בדק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אפשרות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ביצוע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משימות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אלה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4E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ab/>
      </w:r>
      <w:r w:rsidDel="00000000" w:rsidR="00000000" w:rsidRPr="00000000">
        <w:rPr>
          <w:rFonts w:ascii="David" w:cs="David" w:eastAsia="David" w:hAnsi="David"/>
          <w:rtl w:val="1"/>
        </w:rPr>
        <w:t xml:space="preserve">לאחר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סיומה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הפגישה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הסיעו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אדי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וחאג</w:t>
      </w:r>
      <w:r w:rsidDel="00000000" w:rsidR="00000000" w:rsidRPr="00000000">
        <w:rPr>
          <w:rFonts w:ascii="David" w:cs="David" w:eastAsia="David" w:hAnsi="David"/>
          <w:rtl w:val="1"/>
        </w:rPr>
        <w:t xml:space="preserve">'</w:t>
      </w:r>
      <w:r w:rsidDel="00000000" w:rsidR="00000000" w:rsidRPr="00000000">
        <w:rPr>
          <w:rFonts w:ascii="David" w:cs="David" w:eastAsia="David" w:hAnsi="David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מעבר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הגבול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ובשעות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הערב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המאוחרות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סמוך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לשעה</w:t>
      </w:r>
      <w:r w:rsidDel="00000000" w:rsidR="00000000" w:rsidRPr="00000000">
        <w:rPr>
          <w:rFonts w:ascii="David" w:cs="David" w:eastAsia="David" w:hAnsi="David"/>
          <w:rtl w:val="1"/>
        </w:rPr>
        <w:t xml:space="preserve"> 20:00, </w:t>
      </w:r>
      <w:r w:rsidDel="00000000" w:rsidR="00000000" w:rsidRPr="00000000">
        <w:rPr>
          <w:rFonts w:ascii="David" w:cs="David" w:eastAsia="David" w:hAnsi="David"/>
          <w:rtl w:val="1"/>
        </w:rPr>
        <w:t xml:space="preserve">הוברח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בידי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גלי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ואחרים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דרך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מעבר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הגבול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טורקיה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מבלי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שהציג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דרכונו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עבר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בביקורת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הגבולות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וזאת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באמצעות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הסתרתו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בקדמת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משאית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טריילר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שעברה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במעבר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הגבול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50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ab/>
      </w:r>
      <w:r w:rsidDel="00000000" w:rsidR="00000000" w:rsidRPr="00000000">
        <w:rPr>
          <w:rFonts w:ascii="David" w:cs="David" w:eastAsia="David" w:hAnsi="David"/>
          <w:rtl w:val="1"/>
        </w:rPr>
        <w:t xml:space="preserve">לאחר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חזרתו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אדמת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טורקיה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נסע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rtl w:val="1"/>
        </w:rPr>
        <w:t xml:space="preserve">'</w:t>
      </w:r>
      <w:r w:rsidDel="00000000" w:rsidR="00000000" w:rsidRPr="00000000">
        <w:rPr>
          <w:rFonts w:ascii="David" w:cs="David" w:eastAsia="David" w:hAnsi="David"/>
          <w:rtl w:val="1"/>
        </w:rPr>
        <w:t xml:space="preserve">ונייד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מלון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הילטון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פגש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באנדריי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מסר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1,300 </w:t>
      </w:r>
      <w:r w:rsidDel="00000000" w:rsidR="00000000" w:rsidRPr="00000000">
        <w:rPr>
          <w:rFonts w:ascii="David" w:cs="David" w:eastAsia="David" w:hAnsi="David"/>
          <w:rtl w:val="1"/>
        </w:rPr>
        <w:t xml:space="preserve">דולר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במזומן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תוך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שהוא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מודיע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מדובר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בתשלום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חלקי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מטעמו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אדי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באותו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הלילה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נותר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לישון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במלון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יחד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אנדריי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וג</w:t>
      </w:r>
      <w:r w:rsidDel="00000000" w:rsidR="00000000" w:rsidRPr="00000000">
        <w:rPr>
          <w:rFonts w:ascii="David" w:cs="David" w:eastAsia="David" w:hAnsi="David"/>
          <w:rtl w:val="1"/>
        </w:rPr>
        <w:t xml:space="preserve">'</w:t>
      </w:r>
      <w:r w:rsidDel="00000000" w:rsidR="00000000" w:rsidRPr="00000000">
        <w:rPr>
          <w:rFonts w:ascii="David" w:cs="David" w:eastAsia="David" w:hAnsi="David"/>
          <w:rtl w:val="1"/>
        </w:rPr>
        <w:t xml:space="preserve">ונייד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52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ab/>
      </w:r>
      <w:r w:rsidDel="00000000" w:rsidR="00000000" w:rsidRPr="00000000">
        <w:rPr>
          <w:rFonts w:ascii="David" w:cs="David" w:eastAsia="David" w:hAnsi="David"/>
          <w:rtl w:val="1"/>
        </w:rPr>
        <w:t xml:space="preserve">למחרת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ביום</w:t>
      </w:r>
      <w:r w:rsidDel="00000000" w:rsidR="00000000" w:rsidRPr="00000000">
        <w:rPr>
          <w:rFonts w:ascii="David" w:cs="David" w:eastAsia="David" w:hAnsi="David"/>
          <w:rtl w:val="1"/>
        </w:rPr>
        <w:t xml:space="preserve"> 06.05.2024, </w:t>
      </w:r>
      <w:r w:rsidDel="00000000" w:rsidR="00000000" w:rsidRPr="00000000">
        <w:rPr>
          <w:rFonts w:ascii="David" w:cs="David" w:eastAsia="David" w:hAnsi="David"/>
          <w:rtl w:val="1"/>
        </w:rPr>
        <w:t xml:space="preserve">בשעה</w:t>
      </w:r>
      <w:r w:rsidDel="00000000" w:rsidR="00000000" w:rsidRPr="00000000">
        <w:rPr>
          <w:rFonts w:ascii="David" w:cs="David" w:eastAsia="David" w:hAnsi="David"/>
          <w:rtl w:val="1"/>
        </w:rPr>
        <w:t xml:space="preserve"> 16:40,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המריא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מואן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לאיסטנבול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לאחר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הנחיתה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באיסטנבול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המשיך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בטיסה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נוספת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בלארוס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במטרה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לפגוש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זוגו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ובתאריך</w:t>
      </w:r>
      <w:r w:rsidDel="00000000" w:rsidR="00000000" w:rsidRPr="00000000">
        <w:rPr>
          <w:rFonts w:ascii="David" w:cs="David" w:eastAsia="David" w:hAnsi="David"/>
          <w:rtl w:val="1"/>
        </w:rPr>
        <w:t xml:space="preserve"> 07.06.2024, </w:t>
      </w:r>
      <w:r w:rsidDel="00000000" w:rsidR="00000000" w:rsidRPr="00000000">
        <w:rPr>
          <w:rFonts w:ascii="David" w:cs="David" w:eastAsia="David" w:hAnsi="David"/>
          <w:rtl w:val="1"/>
        </w:rPr>
        <w:t xml:space="preserve">שבו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ובת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זוגו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ארצה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54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ab/>
      </w:r>
      <w:r w:rsidDel="00000000" w:rsidR="00000000" w:rsidRPr="00000000">
        <w:rPr>
          <w:rFonts w:ascii="David" w:cs="David" w:eastAsia="David" w:hAnsi="David"/>
          <w:rtl w:val="1"/>
        </w:rPr>
        <w:t xml:space="preserve">במהלך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התקופה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שבין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יום</w:t>
      </w:r>
      <w:r w:rsidDel="00000000" w:rsidR="00000000" w:rsidRPr="00000000">
        <w:rPr>
          <w:rFonts w:ascii="David" w:cs="David" w:eastAsia="David" w:hAnsi="David"/>
          <w:rtl w:val="1"/>
        </w:rPr>
        <w:t xml:space="preserve"> 06.05.2024 </w:t>
      </w:r>
      <w:r w:rsidDel="00000000" w:rsidR="00000000" w:rsidRPr="00000000">
        <w:rPr>
          <w:rFonts w:ascii="David" w:cs="David" w:eastAsia="David" w:hAnsi="David"/>
          <w:rtl w:val="1"/>
        </w:rPr>
        <w:t xml:space="preserve">לבין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יום</w:t>
      </w:r>
      <w:r w:rsidDel="00000000" w:rsidR="00000000" w:rsidRPr="00000000">
        <w:rPr>
          <w:rFonts w:ascii="David" w:cs="David" w:eastAsia="David" w:hAnsi="David"/>
          <w:rtl w:val="1"/>
        </w:rPr>
        <w:t xml:space="preserve"> 23.08.2024 (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להלן</w:t>
      </w:r>
      <w:r w:rsidDel="00000000" w:rsidR="00000000" w:rsidRPr="00000000">
        <w:rPr>
          <w:rFonts w:ascii="David" w:cs="David" w:eastAsia="David" w:hAnsi="David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תקופת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הביניים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), </w:t>
      </w:r>
      <w:r w:rsidDel="00000000" w:rsidR="00000000" w:rsidRPr="00000000">
        <w:rPr>
          <w:rFonts w:ascii="David" w:cs="David" w:eastAsia="David" w:hAnsi="David"/>
          <w:rtl w:val="1"/>
        </w:rPr>
        <w:t xml:space="preserve">עמד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בקשר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טלפוני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אנדריי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בניסיון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לקדם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התקשרות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עסקית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מול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אדי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שוחח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אנדריי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אודות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הנושא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בעת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שאנדריי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שוהה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באיראן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יחד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אדי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56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ab/>
      </w:r>
      <w:r w:rsidDel="00000000" w:rsidR="00000000" w:rsidRPr="00000000">
        <w:rPr>
          <w:rFonts w:ascii="David" w:cs="David" w:eastAsia="David" w:hAnsi="David"/>
          <w:rtl w:val="1"/>
        </w:rPr>
        <w:t xml:space="preserve">ביום</w:t>
      </w:r>
      <w:r w:rsidDel="00000000" w:rsidR="00000000" w:rsidRPr="00000000">
        <w:rPr>
          <w:rFonts w:ascii="David" w:cs="David" w:eastAsia="David" w:hAnsi="David"/>
          <w:rtl w:val="1"/>
        </w:rPr>
        <w:t xml:space="preserve"> 20.8.2024,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רקע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תיאום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שנערך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לבין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אנדריי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רכש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באמצעות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זוגו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כרטיסי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טיסה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מישראל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לבלגרד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מבלגרד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לאיסטנבול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ומאיסטנבול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לעיר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ואן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הטורקית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וזאת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במטרה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לקיים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פגישה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נוספת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אדי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אדמת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איראן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58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ab/>
      </w:r>
      <w:r w:rsidDel="00000000" w:rsidR="00000000" w:rsidRPr="00000000">
        <w:rPr>
          <w:rFonts w:ascii="David" w:cs="David" w:eastAsia="David" w:hAnsi="David"/>
          <w:rtl w:val="1"/>
        </w:rPr>
        <w:t xml:space="preserve">ביום</w:t>
      </w:r>
      <w:r w:rsidDel="00000000" w:rsidR="00000000" w:rsidRPr="00000000">
        <w:rPr>
          <w:rFonts w:ascii="David" w:cs="David" w:eastAsia="David" w:hAnsi="David"/>
          <w:rtl w:val="1"/>
        </w:rPr>
        <w:t xml:space="preserve"> 22.08.2024 </w:t>
      </w:r>
      <w:r w:rsidDel="00000000" w:rsidR="00000000" w:rsidRPr="00000000">
        <w:rPr>
          <w:rFonts w:ascii="David" w:cs="David" w:eastAsia="David" w:hAnsi="David"/>
          <w:rtl w:val="1"/>
        </w:rPr>
        <w:t xml:space="preserve">סמוך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לשעה</w:t>
      </w:r>
      <w:r w:rsidDel="00000000" w:rsidR="00000000" w:rsidRPr="00000000">
        <w:rPr>
          <w:rFonts w:ascii="David" w:cs="David" w:eastAsia="David" w:hAnsi="David"/>
          <w:rtl w:val="1"/>
        </w:rPr>
        <w:t xml:space="preserve"> 20:00,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המריא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מישראל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וטס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במסלול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האמור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לעיל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ובתאריך</w:t>
      </w:r>
      <w:r w:rsidDel="00000000" w:rsidR="00000000" w:rsidRPr="00000000">
        <w:rPr>
          <w:rFonts w:ascii="David" w:cs="David" w:eastAsia="David" w:hAnsi="David"/>
          <w:rtl w:val="1"/>
        </w:rPr>
        <w:t xml:space="preserve"> 23.08.2024, </w:t>
      </w:r>
      <w:r w:rsidDel="00000000" w:rsidR="00000000" w:rsidRPr="00000000">
        <w:rPr>
          <w:rFonts w:ascii="David" w:cs="David" w:eastAsia="David" w:hAnsi="David"/>
          <w:rtl w:val="1"/>
        </w:rPr>
        <w:t xml:space="preserve">סמוך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לשעה</w:t>
      </w:r>
      <w:r w:rsidDel="00000000" w:rsidR="00000000" w:rsidRPr="00000000">
        <w:rPr>
          <w:rFonts w:ascii="David" w:cs="David" w:eastAsia="David" w:hAnsi="David"/>
          <w:rtl w:val="1"/>
        </w:rPr>
        <w:t xml:space="preserve"> 11:00 </w:t>
      </w:r>
      <w:r w:rsidDel="00000000" w:rsidR="00000000" w:rsidRPr="00000000">
        <w:rPr>
          <w:rFonts w:ascii="David" w:cs="David" w:eastAsia="David" w:hAnsi="David"/>
          <w:rtl w:val="1"/>
        </w:rPr>
        <w:t xml:space="preserve">נחת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בעיר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ואן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שבטורקיה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מנקודה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נסע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יחד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אנדריי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למלון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הילטון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5A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ab/>
      </w:r>
      <w:r w:rsidDel="00000000" w:rsidR="00000000" w:rsidRPr="00000000">
        <w:rPr>
          <w:rFonts w:ascii="David" w:cs="David" w:eastAsia="David" w:hAnsi="David"/>
          <w:rtl w:val="1"/>
        </w:rPr>
        <w:t xml:space="preserve">בעודם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במלון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שוחח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אדי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באמצעות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הטלפון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הנייד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אנדריי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ובשיחה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הפציר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אדי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לחצות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מעבר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הגבול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נוספת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ולהגיע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איראן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מנת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לפגוש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בו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באותה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השיחה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ציין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אדי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בפני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יוכלו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לשוחח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נושאים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נוספים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מצדו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הבין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רקע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טיבה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הפגישה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שהתקיימה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בינו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לבין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אדי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ביום</w:t>
      </w:r>
      <w:r w:rsidDel="00000000" w:rsidR="00000000" w:rsidRPr="00000000">
        <w:rPr>
          <w:rFonts w:ascii="David" w:cs="David" w:eastAsia="David" w:hAnsi="David"/>
          <w:rtl w:val="1"/>
        </w:rPr>
        <w:t xml:space="preserve"> 05.05.2024, </w:t>
      </w:r>
      <w:r w:rsidDel="00000000" w:rsidR="00000000" w:rsidRPr="00000000">
        <w:rPr>
          <w:rFonts w:ascii="David" w:cs="David" w:eastAsia="David" w:hAnsi="David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המדובר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בעניינים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בעלי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הקשר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פלילי</w:t>
      </w:r>
      <w:r w:rsidDel="00000000" w:rsidR="00000000" w:rsidRPr="00000000">
        <w:rPr>
          <w:rFonts w:ascii="David" w:cs="David" w:eastAsia="David" w:hAnsi="David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rtl w:val="1"/>
        </w:rPr>
        <w:t xml:space="preserve">בטחוני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5C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ab/>
      </w:r>
      <w:r w:rsidDel="00000000" w:rsidR="00000000" w:rsidRPr="00000000">
        <w:rPr>
          <w:rFonts w:ascii="David" w:cs="David" w:eastAsia="David" w:hAnsi="David"/>
          <w:rtl w:val="1"/>
        </w:rPr>
        <w:t xml:space="preserve">למחרת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בבוקר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בתאריך</w:t>
      </w:r>
      <w:r w:rsidDel="00000000" w:rsidR="00000000" w:rsidRPr="00000000">
        <w:rPr>
          <w:rFonts w:ascii="David" w:cs="David" w:eastAsia="David" w:hAnsi="David"/>
          <w:rtl w:val="1"/>
        </w:rPr>
        <w:t xml:space="preserve"> 24.08.2024, </w:t>
      </w:r>
      <w:r w:rsidDel="00000000" w:rsidR="00000000" w:rsidRPr="00000000">
        <w:rPr>
          <w:rFonts w:ascii="David" w:cs="David" w:eastAsia="David" w:hAnsi="David"/>
          <w:rtl w:val="1"/>
        </w:rPr>
        <w:t xml:space="preserve">סמוך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לשעה</w:t>
      </w:r>
      <w:r w:rsidDel="00000000" w:rsidR="00000000" w:rsidRPr="00000000">
        <w:rPr>
          <w:rFonts w:ascii="David" w:cs="David" w:eastAsia="David" w:hAnsi="David"/>
          <w:rtl w:val="1"/>
        </w:rPr>
        <w:t xml:space="preserve"> 06:00, </w:t>
      </w:r>
      <w:r w:rsidDel="00000000" w:rsidR="00000000" w:rsidRPr="00000000">
        <w:rPr>
          <w:rFonts w:ascii="David" w:cs="David" w:eastAsia="David" w:hAnsi="David"/>
          <w:rtl w:val="1"/>
        </w:rPr>
        <w:t xml:space="preserve">נסע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יחד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אנדריי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ברכב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נהג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אנדריי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למעבר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הגבול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הגיעם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סמוך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למעבר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הגבול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בטרם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יציאתם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הרכב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השאיר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ברכב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מכשיר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הטלפון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הנייד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שלו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לצד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דרכונו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וחפציו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האישיים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5E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ab/>
      </w:r>
      <w:r w:rsidDel="00000000" w:rsidR="00000000" w:rsidRPr="00000000">
        <w:rPr>
          <w:rFonts w:ascii="David" w:cs="David" w:eastAsia="David" w:hAnsi="David"/>
          <w:rtl w:val="1"/>
        </w:rPr>
        <w:t xml:space="preserve">בהמשך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לכך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הוכנס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ידי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אדם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שנשלח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מטעם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גלי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תא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הנהג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משאית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ושכב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במיטה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הנמצאת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בחלקו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האחורי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התא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וכך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הוברח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דרך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מעבר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הגבול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אדמת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איראן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מבלי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שהציג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דרכונו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לפקידי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המכס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ומבלי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לעבור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בביקורת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הגבולות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60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ab/>
      </w:r>
      <w:r w:rsidDel="00000000" w:rsidR="00000000" w:rsidRPr="00000000">
        <w:rPr>
          <w:rFonts w:ascii="David" w:cs="David" w:eastAsia="David" w:hAnsi="David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הגעתו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אדמת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איראן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פגש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בחאג</w:t>
      </w:r>
      <w:r w:rsidDel="00000000" w:rsidR="00000000" w:rsidRPr="00000000">
        <w:rPr>
          <w:rFonts w:ascii="David" w:cs="David" w:eastAsia="David" w:hAnsi="David"/>
          <w:rtl w:val="1"/>
        </w:rPr>
        <w:t xml:space="preserve">'</w:t>
      </w:r>
      <w:r w:rsidDel="00000000" w:rsidR="00000000" w:rsidRPr="00000000">
        <w:rPr>
          <w:rFonts w:ascii="David" w:cs="David" w:eastAsia="David" w:hAnsi="David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ובאדי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ובהמשך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לכך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נסע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יחד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אנדריי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חאג</w:t>
      </w:r>
      <w:r w:rsidDel="00000000" w:rsidR="00000000" w:rsidRPr="00000000">
        <w:rPr>
          <w:rFonts w:ascii="David" w:cs="David" w:eastAsia="David" w:hAnsi="David"/>
          <w:rtl w:val="1"/>
        </w:rPr>
        <w:t xml:space="preserve">'</w:t>
      </w:r>
      <w:r w:rsidDel="00000000" w:rsidR="00000000" w:rsidRPr="00000000">
        <w:rPr>
          <w:rFonts w:ascii="David" w:cs="David" w:eastAsia="David" w:hAnsi="David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ואדי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הווילה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האיראנית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ברכב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הנהוג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בידי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חאג</w:t>
      </w:r>
      <w:r w:rsidDel="00000000" w:rsidR="00000000" w:rsidRPr="00000000">
        <w:rPr>
          <w:rFonts w:ascii="David" w:cs="David" w:eastAsia="David" w:hAnsi="David"/>
          <w:rtl w:val="1"/>
        </w:rPr>
        <w:t xml:space="preserve">'</w:t>
      </w:r>
      <w:r w:rsidDel="00000000" w:rsidR="00000000" w:rsidRPr="00000000">
        <w:rPr>
          <w:rFonts w:ascii="David" w:cs="David" w:eastAsia="David" w:hAnsi="David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62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ab/>
      </w:r>
      <w:r w:rsidDel="00000000" w:rsidR="00000000" w:rsidRPr="00000000">
        <w:rPr>
          <w:rFonts w:ascii="David" w:cs="David" w:eastAsia="David" w:hAnsi="David"/>
          <w:rtl w:val="1"/>
        </w:rPr>
        <w:t xml:space="preserve">במהלך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הנסיעה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עדכן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אדי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לראשונה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שני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אנשי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מודיעין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איראניים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יצאו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במיוחד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מטהרן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עבור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מטרה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אמורים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להגיע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הווילה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האיראנית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במטרה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לפגוש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עוד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הודיע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אדי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אנשים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אלה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מגיעים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rtl w:val="1"/>
        </w:rPr>
        <w:t xml:space="preserve">שיק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פתוח</w:t>
      </w:r>
      <w:r w:rsidDel="00000000" w:rsidR="00000000" w:rsidRPr="00000000">
        <w:rPr>
          <w:rFonts w:ascii="David" w:cs="David" w:eastAsia="David" w:hAnsi="David"/>
          <w:rtl w:val="1"/>
        </w:rPr>
        <w:t xml:space="preserve">",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והציע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ידרוש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מהם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מקדמה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סך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מיליון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דולר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בגין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משימות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שיתבקש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לבצע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ידם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</w:p>
    <w:p w:rsidR="00000000" w:rsidDel="00000000" w:rsidP="00000000" w:rsidRDefault="00000000" w:rsidRPr="00000000" w14:paraId="00000064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ab/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ואדי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הגיעו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הווילה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האיראנית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סמוך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לפני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השעה</w:t>
      </w:r>
      <w:r w:rsidDel="00000000" w:rsidR="00000000" w:rsidRPr="00000000">
        <w:rPr>
          <w:rFonts w:ascii="David" w:cs="David" w:eastAsia="David" w:hAnsi="David"/>
          <w:rtl w:val="1"/>
        </w:rPr>
        <w:t xml:space="preserve"> 14:00,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ולנאשם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הוגשה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ארוחה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דשנה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בידי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גלי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נכח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אף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בווילה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האיראנית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באותה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העת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66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ab/>
      </w:r>
      <w:r w:rsidDel="00000000" w:rsidR="00000000" w:rsidRPr="00000000">
        <w:rPr>
          <w:rFonts w:ascii="David" w:cs="David" w:eastAsia="David" w:hAnsi="David"/>
          <w:rtl w:val="1"/>
        </w:rPr>
        <w:t xml:space="preserve">סמוך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לאחר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סיום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הארוחה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הגיעו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לווילה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שני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אנשים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זהותם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אינה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ידועה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למאשימה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ואשר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פעלו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מטעם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גורמי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המודיעין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המשטר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האיראני</w:t>
      </w:r>
      <w:r w:rsidDel="00000000" w:rsidR="00000000" w:rsidRPr="00000000">
        <w:rPr>
          <w:rFonts w:ascii="David" w:cs="David" w:eastAsia="David" w:hAnsi="David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להלן</w:t>
      </w:r>
      <w:r w:rsidDel="00000000" w:rsidR="00000000" w:rsidRPr="00000000">
        <w:rPr>
          <w:rFonts w:ascii="David" w:cs="David" w:eastAsia="David" w:hAnsi="David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הסוכנים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האיראניים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). </w:t>
      </w:r>
      <w:r w:rsidDel="00000000" w:rsidR="00000000" w:rsidRPr="00000000">
        <w:rPr>
          <w:rFonts w:ascii="David" w:cs="David" w:eastAsia="David" w:hAnsi="David"/>
          <w:rtl w:val="1"/>
        </w:rPr>
        <w:t xml:space="preserve">אלה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הוצגו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בפני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כאנשי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מודיעין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איראניים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ולאחר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עריכת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היכרות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בינם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לבין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התיישבו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הסוכנים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האיראניים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אדי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ואנדריי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בסלון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שבווילה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האיראנית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68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ab/>
      </w:r>
      <w:r w:rsidDel="00000000" w:rsidR="00000000" w:rsidRPr="00000000">
        <w:rPr>
          <w:rFonts w:ascii="David" w:cs="David" w:eastAsia="David" w:hAnsi="David"/>
          <w:rtl w:val="1"/>
        </w:rPr>
        <w:t xml:space="preserve">במהלך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הפגישה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לבין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הסוכנים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האיראניים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בנוכחותם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אדי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rtl w:val="1"/>
        </w:rPr>
        <w:t xml:space="preserve">'</w:t>
      </w:r>
      <w:r w:rsidDel="00000000" w:rsidR="00000000" w:rsidRPr="00000000">
        <w:rPr>
          <w:rFonts w:ascii="David" w:cs="David" w:eastAsia="David" w:hAnsi="David"/>
          <w:rtl w:val="1"/>
        </w:rPr>
        <w:t xml:space="preserve">ונייד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וחאג</w:t>
      </w:r>
      <w:r w:rsidDel="00000000" w:rsidR="00000000" w:rsidRPr="00000000">
        <w:rPr>
          <w:rFonts w:ascii="David" w:cs="David" w:eastAsia="David" w:hAnsi="David"/>
          <w:rtl w:val="1"/>
        </w:rPr>
        <w:t xml:space="preserve">'</w:t>
      </w:r>
      <w:r w:rsidDel="00000000" w:rsidR="00000000" w:rsidRPr="00000000">
        <w:rPr>
          <w:rFonts w:ascii="David" w:cs="David" w:eastAsia="David" w:hAnsi="David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טען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בפני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הסוכנים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הינו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קשרים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בעולם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התחתון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ומכיר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אנשים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רבים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וזאת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במטרה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לשכנעם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ביכולתו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להביא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לביצוע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משימות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אותן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יידרש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לבצע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ומתוך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מטרה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לקבל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מהסוכנים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האיראניים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סכומי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כסף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גבוהים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בגין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ביצוע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פעולות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עבורם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6A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ab/>
      </w:r>
      <w:r w:rsidDel="00000000" w:rsidR="00000000" w:rsidRPr="00000000">
        <w:rPr>
          <w:rFonts w:ascii="David" w:cs="David" w:eastAsia="David" w:hAnsi="David"/>
          <w:rtl w:val="1"/>
        </w:rPr>
        <w:t xml:space="preserve">במהלך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פגישה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הודיעו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הסוכנים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האיראניים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מבקשים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שיבצע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עבורם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מספר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משימות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אדמת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בשלב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הודיע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מבקש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מקדמה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סך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מיליון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דולר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ואילו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הסוכנים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ביקשו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ממנו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להסתפק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במקדמה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סך</w:t>
      </w:r>
      <w:r w:rsidDel="00000000" w:rsidR="00000000" w:rsidRPr="00000000">
        <w:rPr>
          <w:rFonts w:ascii="David" w:cs="David" w:eastAsia="David" w:hAnsi="David"/>
          <w:rtl w:val="1"/>
        </w:rPr>
        <w:t xml:space="preserve"> 150,000 </w:t>
      </w:r>
      <w:r w:rsidDel="00000000" w:rsidR="00000000" w:rsidRPr="00000000">
        <w:rPr>
          <w:rFonts w:ascii="David" w:cs="David" w:eastAsia="David" w:hAnsi="David"/>
          <w:rtl w:val="1"/>
        </w:rPr>
        <w:t xml:space="preserve">דולר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6C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ab/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רקע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שיח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הוצע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בידי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הסוכנים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האיראניים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לבצע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פעולות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טרור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עבור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הרפובליקה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האסלאמית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איראן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אדמת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מטרתן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לפגוע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פגיעה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חמורה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ומשמעותית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בביטחונה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מדינת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והתקיים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דיון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ביחס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לפעולות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אלה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כדלקמן</w:t>
      </w:r>
      <w:r w:rsidDel="00000000" w:rsidR="00000000" w:rsidRPr="00000000">
        <w:rPr>
          <w:rFonts w:ascii="David" w:cs="David" w:eastAsia="David" w:hAnsi="David"/>
          <w:rtl w:val="1"/>
        </w:rPr>
        <w:t xml:space="preserve">:</w:t>
      </w:r>
    </w:p>
    <w:p w:rsidR="00000000" w:rsidDel="00000000" w:rsidP="00000000" w:rsidRDefault="00000000" w:rsidRPr="00000000" w14:paraId="0000006E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bidi w:val="1"/>
        <w:spacing w:line="360" w:lineRule="auto"/>
        <w:ind w:left="720" w:firstLine="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(1) </w:t>
      </w:r>
      <w:r w:rsidDel="00000000" w:rsidR="00000000" w:rsidRPr="00000000">
        <w:rPr>
          <w:rFonts w:ascii="David" w:cs="David" w:eastAsia="David" w:hAnsi="David"/>
          <w:rtl w:val="1"/>
        </w:rPr>
        <w:t xml:space="preserve">הסוכנים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דנו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ביחס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לאפשרות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יתנקש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בחייהם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ראש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ממשלת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בנימין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נתניהו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ראש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השב</w:t>
      </w:r>
      <w:r w:rsidDel="00000000" w:rsidR="00000000" w:rsidRPr="00000000">
        <w:rPr>
          <w:rFonts w:ascii="David" w:cs="David" w:eastAsia="David" w:hAnsi="David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רונן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בר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הביטחון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יואב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גלנט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70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bidi w:val="1"/>
        <w:spacing w:line="360" w:lineRule="auto"/>
        <w:ind w:left="720" w:firstLine="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(2) </w:t>
      </w:r>
      <w:r w:rsidDel="00000000" w:rsidR="00000000" w:rsidRPr="00000000">
        <w:rPr>
          <w:rFonts w:ascii="David" w:cs="David" w:eastAsia="David" w:hAnsi="David"/>
          <w:rtl w:val="1"/>
        </w:rPr>
        <w:t xml:space="preserve">דיון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התקיים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תוך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שהסוכנים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האיראניים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נוקבים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בשמותיהם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ובתפקידיהם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המדויקים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אישים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בכירים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אלה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היתר</w:t>
      </w:r>
      <w:r w:rsidDel="00000000" w:rsidR="00000000" w:rsidRPr="00000000">
        <w:rPr>
          <w:rFonts w:ascii="David" w:cs="David" w:eastAsia="David" w:hAnsi="David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rtl w:val="1"/>
        </w:rPr>
        <w:t xml:space="preserve">בשפה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העברית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בה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גילה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מהסוכנים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האיראניים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בקיאות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72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bidi w:val="1"/>
        <w:spacing w:line="360" w:lineRule="auto"/>
        <w:ind w:left="720" w:firstLine="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מצדו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אפשרות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פגיעה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באישים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האמורים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בטענה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רמת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אבטחתם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תאפשר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לפגוע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בהם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כמבוקש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74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bidi w:val="1"/>
        <w:spacing w:line="360" w:lineRule="auto"/>
        <w:ind w:left="720" w:firstLine="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(3)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רקע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תגובתו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שאלו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הסוכנים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האיראניים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מכיר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העיר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רעננה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ומשהשיב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בחיוב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הציעו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יתנקש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בחייו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ראש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הממשלה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לשעבר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נפתלי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בנט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וזאת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באמצעות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מטען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נפץ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76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bidi w:val="1"/>
        <w:spacing w:line="360" w:lineRule="auto"/>
        <w:ind w:left="720" w:firstLine="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(4)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חזר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דרישתו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לקבלת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מקדמה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סך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מיליון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דולר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בטרם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ביצוע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פעולה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כלשהיא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ומשכך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הציעו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הסוכנים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האיראניים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הצעה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כספית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משודרגת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גבוהה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מזו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שהציעו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מלכתחילה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לפיה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ישלמו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סכום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300 </w:t>
      </w:r>
      <w:r w:rsidDel="00000000" w:rsidR="00000000" w:rsidRPr="00000000">
        <w:rPr>
          <w:rFonts w:ascii="David" w:cs="David" w:eastAsia="David" w:hAnsi="David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rtl w:val="1"/>
        </w:rPr>
        <w:t xml:space="preserve">-400 </w:t>
      </w:r>
      <w:r w:rsidDel="00000000" w:rsidR="00000000" w:rsidRPr="00000000">
        <w:rPr>
          <w:rFonts w:ascii="David" w:cs="David" w:eastAsia="David" w:hAnsi="David"/>
          <w:rtl w:val="1"/>
        </w:rPr>
        <w:t xml:space="preserve">אלף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דולר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כמקדמה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עבור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התנקשות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בחייו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נפתלי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בנט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אולם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סירב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להצעה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כספית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78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bidi w:val="1"/>
        <w:spacing w:line="360" w:lineRule="auto"/>
        <w:ind w:left="720" w:firstLine="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(5)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במעמד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הבהירו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הסוכנים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האיראניים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התנקשותו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באחד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האישים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הבכירים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שהוזכרו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תהווה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מבחינת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מנהיגי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הרפובליקה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האסלאמית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איראן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נקמה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בגין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חיסולו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אסמאעיל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הנייה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אדמת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איראן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בתאריך</w:t>
      </w:r>
      <w:r w:rsidDel="00000000" w:rsidR="00000000" w:rsidRPr="00000000">
        <w:rPr>
          <w:rFonts w:ascii="David" w:cs="David" w:eastAsia="David" w:hAnsi="David"/>
          <w:rtl w:val="1"/>
        </w:rPr>
        <w:t xml:space="preserve"> 31.07.2024 </w:t>
      </w:r>
      <w:r w:rsidDel="00000000" w:rsidR="00000000" w:rsidRPr="00000000">
        <w:rPr>
          <w:rFonts w:ascii="David" w:cs="David" w:eastAsia="David" w:hAnsi="David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יוחסה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בידי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שלטונות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איראן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למדינת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וכך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תימנע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איראן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מפתיחה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במלחמה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מדינת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הסוכנים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האיראניים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הדגישו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במעמד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דרישת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שולחיהם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לחיסול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דמות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בכירה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כפי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אלה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שהזכירו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7A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bidi w:val="1"/>
        <w:spacing w:line="360" w:lineRule="auto"/>
        <w:ind w:left="720" w:firstLine="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(6) </w:t>
      </w:r>
      <w:r w:rsidDel="00000000" w:rsidR="00000000" w:rsidRPr="00000000">
        <w:rPr>
          <w:rFonts w:ascii="David" w:cs="David" w:eastAsia="David" w:hAnsi="David"/>
          <w:rtl w:val="1"/>
        </w:rPr>
        <w:t xml:space="preserve">בנוסף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דנו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הסוכנים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האיראניים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אודות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אפשרות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התנקשות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בחייו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ראש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עיריית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נהריה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ראש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עיריית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עכו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באמצעות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מטען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נפץ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וזאת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לאחר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טען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בכזב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בפני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אדי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מתגורר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בנהריה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7C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bidi w:val="1"/>
        <w:spacing w:line="360" w:lineRule="auto"/>
        <w:ind w:left="720" w:firstLine="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(7)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מצדו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עמד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דרישתו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בדבר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קבלת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מקדמה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כספית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סך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מיליון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דולר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בטרם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ביצוע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פעולה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כלשהי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7E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bidi w:val="1"/>
        <w:spacing w:line="360" w:lineRule="auto"/>
        <w:ind w:left="720" w:firstLine="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(8) </w:t>
      </w:r>
      <w:r w:rsidDel="00000000" w:rsidR="00000000" w:rsidRPr="00000000">
        <w:rPr>
          <w:rFonts w:ascii="David" w:cs="David" w:eastAsia="David" w:hAnsi="David"/>
          <w:rtl w:val="1"/>
        </w:rPr>
        <w:t xml:space="preserve">בנקודה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שבו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הסוכנים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הטענה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ביצוע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פעולת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חיסול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מעין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ככל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ותוביל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לכך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שהציבור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הישראלי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יאמין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מסתובבת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בארץ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חוליה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מבצעית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איראנית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המבצעת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פעולות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קטלניות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אדמת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יכולה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למנוע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פריצה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מלחמה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איראן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לישראל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וזאת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במטרה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להניעו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להסכים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לביצוע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פעולת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התנקשות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המפורטת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לעיל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בסעיף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80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ab/>
      </w:r>
      <w:r w:rsidDel="00000000" w:rsidR="00000000" w:rsidRPr="00000000">
        <w:rPr>
          <w:rFonts w:ascii="David" w:cs="David" w:eastAsia="David" w:hAnsi="David"/>
          <w:rtl w:val="1"/>
        </w:rPr>
        <w:t xml:space="preserve">הפגישה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התמשכה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לשעה</w:t>
      </w:r>
      <w:r w:rsidDel="00000000" w:rsidR="00000000" w:rsidRPr="00000000">
        <w:rPr>
          <w:rFonts w:ascii="David" w:cs="David" w:eastAsia="David" w:hAnsi="David"/>
          <w:rtl w:val="1"/>
        </w:rPr>
        <w:t xml:space="preserve"> 20:00 </w:t>
      </w:r>
      <w:r w:rsidDel="00000000" w:rsidR="00000000" w:rsidRPr="00000000">
        <w:rPr>
          <w:rFonts w:ascii="David" w:cs="David" w:eastAsia="David" w:hAnsi="David"/>
          <w:rtl w:val="1"/>
        </w:rPr>
        <w:t xml:space="preserve">בערב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סמוך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לכך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הסתיימה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מבלי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שהושגה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הסכמה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כלשהי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הסוכנים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האיראניים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לבין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בהתייחס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לסכום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שיקבל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כמקדמה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בטרם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ביצוע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פעולה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כלשהי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עבורם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מיד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לאחר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עזיבת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הסוכנים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הווילה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האיראנית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טען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אדי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באזני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הסוכנים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rtl w:val="1"/>
        </w:rPr>
        <w:t xml:space="preserve">יחזרו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כמו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כלבים</w:t>
      </w:r>
      <w:r w:rsidDel="00000000" w:rsidR="00000000" w:rsidRPr="00000000">
        <w:rPr>
          <w:rFonts w:ascii="David" w:cs="David" w:eastAsia="David" w:hAnsi="David"/>
          <w:rtl w:val="1"/>
        </w:rPr>
        <w:t xml:space="preserve">",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ויתחננו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בפני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יפעל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עבורם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82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ab/>
      </w:r>
      <w:r w:rsidDel="00000000" w:rsidR="00000000" w:rsidRPr="00000000">
        <w:rPr>
          <w:rFonts w:ascii="David" w:cs="David" w:eastAsia="David" w:hAnsi="David"/>
          <w:rtl w:val="1"/>
        </w:rPr>
        <w:t xml:space="preserve">לאחר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סיום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הפגישה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נאות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להתלוות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אדי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ואנדריי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למלון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האיראני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לאחר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הגעתם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למלון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ובטרם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עזיבתו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המלון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הקצה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אדי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קומה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במלון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עבור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ואנדריי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ודאג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לארח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במלון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באירוח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כיד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המלך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כלל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שירותם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מלצרים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רבים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כיבדוהו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במטעמים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רבים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ובשתייה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רבה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84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ab/>
      </w:r>
      <w:r w:rsidDel="00000000" w:rsidR="00000000" w:rsidRPr="00000000">
        <w:rPr>
          <w:rFonts w:ascii="David" w:cs="David" w:eastAsia="David" w:hAnsi="David"/>
          <w:rtl w:val="1"/>
        </w:rPr>
        <w:t xml:space="preserve">למחרת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בבוקר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בתאריך</w:t>
      </w:r>
      <w:r w:rsidDel="00000000" w:rsidR="00000000" w:rsidRPr="00000000">
        <w:rPr>
          <w:rFonts w:ascii="David" w:cs="David" w:eastAsia="David" w:hAnsi="David"/>
          <w:rtl w:val="1"/>
        </w:rPr>
        <w:t xml:space="preserve"> 25.08.2024, </w:t>
      </w:r>
      <w:r w:rsidDel="00000000" w:rsidR="00000000" w:rsidRPr="00000000">
        <w:rPr>
          <w:rFonts w:ascii="David" w:cs="David" w:eastAsia="David" w:hAnsi="David"/>
          <w:rtl w:val="1"/>
        </w:rPr>
        <w:t xml:space="preserve">שב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אדי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למלון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והודיע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הסוכנים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האיראניים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חזרו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הווילה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האיראנית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מנת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לפגוש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נוספת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אדי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הזכיר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שהסוכנים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האיראניים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rtl w:val="1"/>
        </w:rPr>
        <w:t xml:space="preserve">יחזרו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כמו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כלבים</w:t>
      </w:r>
      <w:r w:rsidDel="00000000" w:rsidR="00000000" w:rsidRPr="00000000">
        <w:rPr>
          <w:rFonts w:ascii="David" w:cs="David" w:eastAsia="David" w:hAnsi="David"/>
          <w:rtl w:val="1"/>
        </w:rPr>
        <w:t xml:space="preserve">".</w:t>
      </w:r>
    </w:p>
    <w:p w:rsidR="00000000" w:rsidDel="00000000" w:rsidP="00000000" w:rsidRDefault="00000000" w:rsidRPr="00000000" w14:paraId="00000086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ab/>
      </w:r>
      <w:r w:rsidDel="00000000" w:rsidR="00000000" w:rsidRPr="00000000">
        <w:rPr>
          <w:rFonts w:ascii="David" w:cs="David" w:eastAsia="David" w:hAnsi="David"/>
          <w:rtl w:val="1"/>
        </w:rPr>
        <w:t xml:space="preserve">כאשר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מודע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היטב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לכך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שבכוונת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הסוכנים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האיראניים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להפעילו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במטרה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לפגוע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פגיעה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חמורה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בביטחון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מדינת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נסע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יחד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אדי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ואנדריי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הווילה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האיראנית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כדי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להיפגש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הסוכנים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האיראניים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וזאת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משום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שחשש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לסרב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לבקשתם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להיפגש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שנית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88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ab/>
      </w:r>
      <w:r w:rsidDel="00000000" w:rsidR="00000000" w:rsidRPr="00000000">
        <w:rPr>
          <w:rFonts w:ascii="David" w:cs="David" w:eastAsia="David" w:hAnsi="David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שובם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אדי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ואנדריי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לווילה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האיראנית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התקיימה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פגישה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נוספת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הסוכנים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האיראניים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לבין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במסגרתה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נדונה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אפשרות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ביצוען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הפעולות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הבאות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בידי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:</w:t>
      </w:r>
    </w:p>
    <w:p w:rsidR="00000000" w:rsidDel="00000000" w:rsidP="00000000" w:rsidRDefault="00000000" w:rsidRPr="00000000" w14:paraId="0000008A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bidi w:val="1"/>
        <w:spacing w:line="360" w:lineRule="auto"/>
        <w:ind w:left="720" w:firstLine="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(1) </w:t>
      </w:r>
      <w:r w:rsidDel="00000000" w:rsidR="00000000" w:rsidRPr="00000000">
        <w:rPr>
          <w:rFonts w:ascii="David" w:cs="David" w:eastAsia="David" w:hAnsi="David"/>
          <w:rtl w:val="1"/>
        </w:rPr>
        <w:t xml:space="preserve">הסוכנים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האיראניים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הציעו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נוספת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יתנקש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בראש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הממשלה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לשעבר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נפתלי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בנט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תוך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שהם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מדגישים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בפניו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נפתלי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בנט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איננו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מאובטח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שגם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עתה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עמד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דרישתו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בדבר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קבלת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מקדמה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סך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מיליון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דולר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8C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bidi w:val="1"/>
        <w:spacing w:line="360" w:lineRule="auto"/>
        <w:ind w:left="720" w:firstLine="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(2) </w:t>
      </w:r>
      <w:r w:rsidDel="00000000" w:rsidR="00000000" w:rsidRPr="00000000">
        <w:rPr>
          <w:rFonts w:ascii="David" w:cs="David" w:eastAsia="David" w:hAnsi="David"/>
          <w:rtl w:val="1"/>
        </w:rPr>
        <w:t xml:space="preserve">הסוכנים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האיראניים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דנו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לגבי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האפשרות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יטמין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כספים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בנקודות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משלש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עבור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אחרים</w:t>
      </w:r>
      <w:r w:rsidDel="00000000" w:rsidR="00000000" w:rsidRPr="00000000">
        <w:rPr>
          <w:rFonts w:ascii="David" w:cs="David" w:eastAsia="David" w:hAnsi="David"/>
          <w:rtl w:val="1"/>
        </w:rPr>
        <w:t xml:space="preserve">; </w:t>
      </w:r>
      <w:r w:rsidDel="00000000" w:rsidR="00000000" w:rsidRPr="00000000">
        <w:rPr>
          <w:rFonts w:ascii="David" w:cs="David" w:eastAsia="David" w:hAnsi="David"/>
          <w:rtl w:val="1"/>
        </w:rPr>
        <w:t xml:space="preserve">ובאפשרות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חיסול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ערבים</w:t>
      </w:r>
      <w:r w:rsidDel="00000000" w:rsidR="00000000" w:rsidRPr="00000000">
        <w:rPr>
          <w:rFonts w:ascii="David" w:cs="David" w:eastAsia="David" w:hAnsi="David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rtl w:val="1"/>
        </w:rPr>
        <w:t xml:space="preserve">ישראלים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לטענת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הסוכנים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האיראניים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בגדו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בגורמי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מודיעין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איראניים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באופן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שנטלו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מהם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כספים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ביצעו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עבורם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משימות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8E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bidi w:val="1"/>
        <w:spacing w:line="360" w:lineRule="auto"/>
        <w:ind w:left="720" w:firstLine="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(3) </w:t>
      </w:r>
      <w:r w:rsidDel="00000000" w:rsidR="00000000" w:rsidRPr="00000000">
        <w:rPr>
          <w:rFonts w:ascii="David" w:cs="David" w:eastAsia="David" w:hAnsi="David"/>
          <w:rtl w:val="1"/>
        </w:rPr>
        <w:t xml:space="preserve">הוצע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מטעם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הסוכנים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האיראניים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לפעול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לאיתור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גורמים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רוסיים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ואמריקאים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לצורך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חיסול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מתנגדים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המשטר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האיראני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באירופה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ובארצות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הברית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90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bidi w:val="1"/>
        <w:spacing w:line="360" w:lineRule="auto"/>
        <w:ind w:left="720" w:firstLine="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(4) </w:t>
      </w:r>
      <w:r w:rsidDel="00000000" w:rsidR="00000000" w:rsidRPr="00000000">
        <w:rPr>
          <w:rFonts w:ascii="David" w:cs="David" w:eastAsia="David" w:hAnsi="David"/>
          <w:rtl w:val="1"/>
        </w:rPr>
        <w:t xml:space="preserve">עוד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הוצע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יגייס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עבור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גורמי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המודיעין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האיראניים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מוסד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יהפוך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להיות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סוכן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כפול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הציע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ביחס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לאפשרות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יגייס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מוסד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המצוי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בפנסיה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ואולם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הסוכנים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האיראניים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הבהירו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דורשים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גיוס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מוסד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המחזיק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במידע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מודיעיני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עדכני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92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ab/>
      </w:r>
      <w:r w:rsidDel="00000000" w:rsidR="00000000" w:rsidRPr="00000000">
        <w:rPr>
          <w:rFonts w:ascii="David" w:cs="David" w:eastAsia="David" w:hAnsi="David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במהלך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פגישה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שב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אחר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פעם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דרישתו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לקבל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מקדמה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סך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מיליון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דולר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בטרם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יבצע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פעולות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כלשהן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עבור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איראן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עקב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דרישה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הבשילה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אף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פגישה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הסוכנים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האיראניים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לכדי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הסכמה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בדבר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ביצוע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פעילות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קונקרטית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כנגד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מדינת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כמבוקש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ידי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המשטר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האיראני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באמצעות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הסוכנים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94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ab/>
      </w:r>
      <w:r w:rsidDel="00000000" w:rsidR="00000000" w:rsidRPr="00000000">
        <w:rPr>
          <w:rFonts w:ascii="David" w:cs="David" w:eastAsia="David" w:hAnsi="David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סיום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הפגישה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דרש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מאדי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לקבל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אמצעי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קשר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סלולארי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עמו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יוכל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לעמוד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בקשר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הסוכנים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אולם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אדי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סירב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לבקשתו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והודיע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אלה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שייצרו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עמו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קשר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בעתיד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96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ab/>
      </w:r>
      <w:r w:rsidDel="00000000" w:rsidR="00000000" w:rsidRPr="00000000">
        <w:rPr>
          <w:rFonts w:ascii="David" w:cs="David" w:eastAsia="David" w:hAnsi="David"/>
          <w:rtl w:val="1"/>
        </w:rPr>
        <w:t xml:space="preserve">בטרם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עזיבתו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אדמת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איראן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קיבל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אדי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סכום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2,000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אירו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ומאת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חאג</w:t>
      </w:r>
      <w:r w:rsidDel="00000000" w:rsidR="00000000" w:rsidRPr="00000000">
        <w:rPr>
          <w:rFonts w:ascii="David" w:cs="David" w:eastAsia="David" w:hAnsi="David"/>
          <w:rtl w:val="1"/>
        </w:rPr>
        <w:t xml:space="preserve">'</w:t>
      </w:r>
      <w:r w:rsidDel="00000000" w:rsidR="00000000" w:rsidRPr="00000000">
        <w:rPr>
          <w:rFonts w:ascii="David" w:cs="David" w:eastAsia="David" w:hAnsi="David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סכום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3,000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אירו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נוספים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עבור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הסכמתו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להגיע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לפגישות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הסוכנים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האיראניים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98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ab/>
      </w:r>
      <w:r w:rsidDel="00000000" w:rsidR="00000000" w:rsidRPr="00000000">
        <w:rPr>
          <w:rFonts w:ascii="David" w:cs="David" w:eastAsia="David" w:hAnsi="David"/>
          <w:rtl w:val="1"/>
        </w:rPr>
        <w:t xml:space="preserve">ביום</w:t>
      </w:r>
      <w:r w:rsidDel="00000000" w:rsidR="00000000" w:rsidRPr="00000000">
        <w:rPr>
          <w:rFonts w:ascii="David" w:cs="David" w:eastAsia="David" w:hAnsi="David"/>
          <w:rtl w:val="1"/>
        </w:rPr>
        <w:t xml:space="preserve"> 26.08.2024, </w:t>
      </w:r>
      <w:r w:rsidDel="00000000" w:rsidR="00000000" w:rsidRPr="00000000">
        <w:rPr>
          <w:rFonts w:ascii="David" w:cs="David" w:eastAsia="David" w:hAnsi="David"/>
          <w:rtl w:val="1"/>
        </w:rPr>
        <w:t xml:space="preserve">סמוך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לפני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השעה</w:t>
      </w:r>
      <w:r w:rsidDel="00000000" w:rsidR="00000000" w:rsidRPr="00000000">
        <w:rPr>
          <w:rFonts w:ascii="David" w:cs="David" w:eastAsia="David" w:hAnsi="David"/>
          <w:rtl w:val="1"/>
        </w:rPr>
        <w:t xml:space="preserve"> 13:00, </w:t>
      </w:r>
      <w:r w:rsidDel="00000000" w:rsidR="00000000" w:rsidRPr="00000000">
        <w:rPr>
          <w:rFonts w:ascii="David" w:cs="David" w:eastAsia="David" w:hAnsi="David"/>
          <w:rtl w:val="1"/>
        </w:rPr>
        <w:t xml:space="preserve">שב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יחד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אנדריי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מעבר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הגבול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וחצה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חזרה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במעבר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אדמת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טורקיה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וזאת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מבלי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שהציג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דרכונו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בגבול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ומבלי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להירשם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בביקורת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הגבולות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לצורך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הברחת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הגבול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ניתן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בידי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גלי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אחר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מטעמו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קלסר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צהוב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הנחזה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להראות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כקלסר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נהגי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משאיות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העוברים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במעבר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הגבול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עמו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חצה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מעבר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הגבול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באופן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רגלי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9A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ab/>
      </w:r>
      <w:r w:rsidDel="00000000" w:rsidR="00000000" w:rsidRPr="00000000">
        <w:rPr>
          <w:rFonts w:ascii="David" w:cs="David" w:eastAsia="David" w:hAnsi="David"/>
          <w:rtl w:val="1"/>
        </w:rPr>
        <w:t xml:space="preserve">זמן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קצר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לאחר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חציית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הגבול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נסע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יחד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אנדריי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לעיר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ואן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ומשם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נסע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לעיר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אדנה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שבטורקיה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מאדנה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טס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לארג</w:t>
      </w:r>
      <w:r w:rsidDel="00000000" w:rsidR="00000000" w:rsidRPr="00000000">
        <w:rPr>
          <w:rFonts w:ascii="David" w:cs="David" w:eastAsia="David" w:hAnsi="David"/>
          <w:rtl w:val="1"/>
        </w:rPr>
        <w:t xml:space="preserve">'</w:t>
      </w:r>
      <w:r w:rsidDel="00000000" w:rsidR="00000000" w:rsidRPr="00000000">
        <w:rPr>
          <w:rFonts w:ascii="David" w:cs="David" w:eastAsia="David" w:hAnsi="David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שבקפריסין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הטורקית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וממנה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נסע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במונית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ללרנקה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אליה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הגיע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ביום</w:t>
      </w:r>
      <w:r w:rsidDel="00000000" w:rsidR="00000000" w:rsidRPr="00000000">
        <w:rPr>
          <w:rFonts w:ascii="David" w:cs="David" w:eastAsia="David" w:hAnsi="David"/>
          <w:rtl w:val="1"/>
        </w:rPr>
        <w:t xml:space="preserve"> 27.08.2024. </w:t>
      </w:r>
    </w:p>
    <w:p w:rsidR="00000000" w:rsidDel="00000000" w:rsidP="00000000" w:rsidRDefault="00000000" w:rsidRPr="00000000" w14:paraId="0000009C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ab/>
      </w:r>
      <w:r w:rsidDel="00000000" w:rsidR="00000000" w:rsidRPr="00000000">
        <w:rPr>
          <w:rFonts w:ascii="David" w:cs="David" w:eastAsia="David" w:hAnsi="David"/>
          <w:rtl w:val="1"/>
        </w:rPr>
        <w:t xml:space="preserve">ביום</w:t>
      </w:r>
      <w:r w:rsidDel="00000000" w:rsidR="00000000" w:rsidRPr="00000000">
        <w:rPr>
          <w:rFonts w:ascii="David" w:cs="David" w:eastAsia="David" w:hAnsi="David"/>
          <w:rtl w:val="1"/>
        </w:rPr>
        <w:t xml:space="preserve"> 29.08.2024,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לאחר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שהייה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כיומיים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במלון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בלרנקה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המריא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מלרנקה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לישראל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נחיתתו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בנמל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התעופה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גוריון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נעצר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בידי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משטרת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ושב</w:t>
      </w:r>
      <w:r w:rsidDel="00000000" w:rsidR="00000000" w:rsidRPr="00000000">
        <w:rPr>
          <w:rFonts w:ascii="David" w:cs="David" w:eastAsia="David" w:hAnsi="David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9E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4.</w:t>
        <w:tab/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יסוד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האמור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לעיל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הורשע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כאמור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בעבירות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מגע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סוכן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חוץ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וכניסה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למדינת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אויב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ללא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היתר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A0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bidi w:val="1"/>
        <w:spacing w:line="360" w:lineRule="auto"/>
        <w:ind w:left="720" w:firstLine="0"/>
        <w:jc w:val="both"/>
        <w:rPr>
          <w:rFonts w:ascii="David" w:cs="David" w:eastAsia="David" w:hAnsi="David"/>
          <w:u w:val="single"/>
        </w:rPr>
      </w:pP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טיעוני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הצדדים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לעונש</w:t>
      </w:r>
    </w:p>
    <w:p w:rsidR="00000000" w:rsidDel="00000000" w:rsidP="00000000" w:rsidRDefault="00000000" w:rsidRPr="00000000" w14:paraId="000000A2">
      <w:pPr>
        <w:bidi w:val="1"/>
        <w:spacing w:line="360" w:lineRule="auto"/>
        <w:ind w:left="720" w:firstLine="0"/>
        <w:jc w:val="both"/>
        <w:rPr>
          <w:rFonts w:ascii="David" w:cs="David" w:eastAsia="David" w:hAnsi="David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bidi w:val="1"/>
        <w:spacing w:line="360" w:lineRule="auto"/>
        <w:ind w:left="720" w:firstLine="0"/>
        <w:jc w:val="both"/>
        <w:rPr>
          <w:rFonts w:ascii="David" w:cs="David" w:eastAsia="David" w:hAnsi="David"/>
          <w:u w:val="single"/>
        </w:rPr>
      </w:pP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תמצית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טיעוני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התביעה</w:t>
      </w:r>
    </w:p>
    <w:p w:rsidR="00000000" w:rsidDel="00000000" w:rsidP="00000000" w:rsidRDefault="00000000" w:rsidRPr="00000000" w14:paraId="000000A4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5.</w:t>
        <w:tab/>
      </w:r>
      <w:r w:rsidDel="00000000" w:rsidR="00000000" w:rsidRPr="00000000">
        <w:rPr>
          <w:rFonts w:ascii="David" w:cs="David" w:eastAsia="David" w:hAnsi="David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התביעה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עו</w:t>
      </w:r>
      <w:r w:rsidDel="00000000" w:rsidR="00000000" w:rsidRPr="00000000">
        <w:rPr>
          <w:rFonts w:ascii="David" w:cs="David" w:eastAsia="David" w:hAnsi="David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מיכאל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כהן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עמד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בטיעוניו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חומרת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מעשיו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הנובעת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ממספר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היבטים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ובהם</w:t>
      </w:r>
      <w:r w:rsidDel="00000000" w:rsidR="00000000" w:rsidRPr="00000000">
        <w:rPr>
          <w:rFonts w:ascii="David" w:cs="David" w:eastAsia="David" w:hAnsi="David"/>
          <w:rtl w:val="1"/>
        </w:rPr>
        <w:t xml:space="preserve">: </w:t>
      </w:r>
    </w:p>
    <w:p w:rsidR="00000000" w:rsidDel="00000000" w:rsidP="00000000" w:rsidRDefault="00000000" w:rsidRPr="00000000" w14:paraId="000000A6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  <w:tab/>
        <w:t xml:space="preserve">(</w:t>
      </w:r>
      <w:r w:rsidDel="00000000" w:rsidR="00000000" w:rsidRPr="00000000">
        <w:rPr>
          <w:rFonts w:ascii="David" w:cs="David" w:eastAsia="David" w:hAnsi="David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rtl w:val="1"/>
        </w:rPr>
        <w:t xml:space="preserve">העובדה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מעשיו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בוצעו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בזמן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מלחמה</w:t>
      </w:r>
      <w:r w:rsidDel="00000000" w:rsidR="00000000" w:rsidRPr="00000000">
        <w:rPr>
          <w:rFonts w:ascii="David" w:cs="David" w:eastAsia="David" w:hAnsi="David"/>
          <w:rtl w:val="1"/>
        </w:rPr>
        <w:t xml:space="preserve">; (</w:t>
      </w:r>
      <w:r w:rsidDel="00000000" w:rsidR="00000000" w:rsidRPr="00000000">
        <w:rPr>
          <w:rFonts w:ascii="David" w:cs="David" w:eastAsia="David" w:hAnsi="David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rtl w:val="1"/>
        </w:rPr>
        <w:t xml:space="preserve">העובדה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המפגשים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התקיימו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תוך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כניסה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למדינת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אויב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בשתי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הזדמנויות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שונות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כאשר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השנייה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התפרסה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פני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יומיים</w:t>
      </w:r>
      <w:r w:rsidDel="00000000" w:rsidR="00000000" w:rsidRPr="00000000">
        <w:rPr>
          <w:rFonts w:ascii="David" w:cs="David" w:eastAsia="David" w:hAnsi="David"/>
          <w:rtl w:val="1"/>
        </w:rPr>
        <w:t xml:space="preserve">; (</w:t>
      </w:r>
      <w:r w:rsidDel="00000000" w:rsidR="00000000" w:rsidRPr="00000000">
        <w:rPr>
          <w:rFonts w:ascii="David" w:cs="David" w:eastAsia="David" w:hAnsi="David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rtl w:val="1"/>
        </w:rPr>
        <w:t xml:space="preserve">טיב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התכנים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שעלו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באותם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מפגשים</w:t>
      </w:r>
      <w:r w:rsidDel="00000000" w:rsidR="00000000" w:rsidRPr="00000000">
        <w:rPr>
          <w:rFonts w:ascii="David" w:cs="David" w:eastAsia="David" w:hAnsi="David"/>
          <w:rtl w:val="1"/>
        </w:rPr>
        <w:t xml:space="preserve">; (</w:t>
      </w:r>
      <w:r w:rsidDel="00000000" w:rsidR="00000000" w:rsidRPr="00000000">
        <w:rPr>
          <w:rFonts w:ascii="David" w:cs="David" w:eastAsia="David" w:hAnsi="David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המניע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הכלכלי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לביצוע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העבירות</w:t>
      </w:r>
      <w:r w:rsidDel="00000000" w:rsidR="00000000" w:rsidRPr="00000000">
        <w:rPr>
          <w:rFonts w:ascii="David" w:cs="David" w:eastAsia="David" w:hAnsi="David"/>
          <w:rtl w:val="1"/>
        </w:rPr>
        <w:t xml:space="preserve">; (</w:t>
      </w:r>
      <w:r w:rsidDel="00000000" w:rsidR="00000000" w:rsidRPr="00000000">
        <w:rPr>
          <w:rFonts w:ascii="David" w:cs="David" w:eastAsia="David" w:hAnsi="David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rtl w:val="1"/>
        </w:rPr>
        <w:t xml:space="preserve">העובדה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קיבל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תשלום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כספי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במזומן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בגין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השתתפותו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במפגשים</w:t>
      </w:r>
      <w:r w:rsidDel="00000000" w:rsidR="00000000" w:rsidRPr="00000000">
        <w:rPr>
          <w:rFonts w:ascii="David" w:cs="David" w:eastAsia="David" w:hAnsi="David"/>
          <w:rtl w:val="1"/>
        </w:rPr>
        <w:t xml:space="preserve">; (</w:t>
      </w:r>
      <w:r w:rsidDel="00000000" w:rsidR="00000000" w:rsidRPr="00000000">
        <w:rPr>
          <w:rFonts w:ascii="David" w:cs="David" w:eastAsia="David" w:hAnsi="David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rtl w:val="1"/>
        </w:rPr>
        <w:t xml:space="preserve">פוטנציאל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הנזק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הטמון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בהתנהלותו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אף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תכנן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לבצע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המשימות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עליהן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דובר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באותם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מפגשים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בהקשר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התייחס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התובע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לאפשרות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נחטף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ידי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הגורמים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האיראניים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וכיו</w:t>
      </w:r>
      <w:r w:rsidDel="00000000" w:rsidR="00000000" w:rsidRPr="00000000">
        <w:rPr>
          <w:rFonts w:ascii="David" w:cs="David" w:eastAsia="David" w:hAnsi="David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</w:p>
    <w:p w:rsidR="00000000" w:rsidDel="00000000" w:rsidP="00000000" w:rsidRDefault="00000000" w:rsidRPr="00000000" w14:paraId="000000A7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0"/>
        </w:rPr>
        <w:tab/>
      </w:r>
    </w:p>
    <w:p w:rsidR="00000000" w:rsidDel="00000000" w:rsidP="00000000" w:rsidRDefault="00000000" w:rsidRPr="00000000" w14:paraId="000000A8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ab/>
      </w:r>
      <w:r w:rsidDel="00000000" w:rsidR="00000000" w:rsidRPr="00000000">
        <w:rPr>
          <w:rFonts w:ascii="David" w:cs="David" w:eastAsia="David" w:hAnsi="David"/>
          <w:rtl w:val="1"/>
        </w:rPr>
        <w:t xml:space="preserve">התובע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התייחס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לפער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כניסתו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הראשונה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לאיראן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שאין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חולק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הייתה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מתוך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מניע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לקדם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עסקאות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בהקשר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ביטחוני</w:t>
      </w:r>
      <w:r w:rsidDel="00000000" w:rsidR="00000000" w:rsidRPr="00000000">
        <w:rPr>
          <w:rFonts w:ascii="David" w:cs="David" w:eastAsia="David" w:hAnsi="David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rtl w:val="1"/>
        </w:rPr>
        <w:t xml:space="preserve">לבין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כניסתו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השנייה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שאז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כבר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ידע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מהי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מטרת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הכניסה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ומהן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סוגי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המשימות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שיידרש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לבצע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</w:p>
    <w:p w:rsidR="00000000" w:rsidDel="00000000" w:rsidP="00000000" w:rsidRDefault="00000000" w:rsidRPr="00000000" w14:paraId="000000A9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0"/>
        </w:rPr>
        <w:tab/>
      </w:r>
    </w:p>
    <w:p w:rsidR="00000000" w:rsidDel="00000000" w:rsidP="00000000" w:rsidRDefault="00000000" w:rsidRPr="00000000" w14:paraId="000000AB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bidi w:val="1"/>
        <w:spacing w:line="360" w:lineRule="auto"/>
        <w:ind w:left="720" w:firstLine="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וכלשונו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התובע</w:t>
      </w:r>
      <w:r w:rsidDel="00000000" w:rsidR="00000000" w:rsidRPr="00000000">
        <w:rPr>
          <w:rFonts w:ascii="David" w:cs="David" w:eastAsia="David" w:hAnsi="David"/>
          <w:rtl w:val="1"/>
        </w:rPr>
        <w:t xml:space="preserve">: </w:t>
      </w:r>
    </w:p>
    <w:p w:rsidR="00000000" w:rsidDel="00000000" w:rsidP="00000000" w:rsidRDefault="00000000" w:rsidRPr="00000000" w14:paraId="000000AD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bidi w:val="1"/>
        <w:spacing w:line="360" w:lineRule="auto"/>
        <w:ind w:left="720" w:firstLine="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0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אכן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פעל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מתוך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מניע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כלכלי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עניינו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בצע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כסף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טהור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אך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רקע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כמפורט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בהרחבה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בכתב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האישום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ביצע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מגעים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סוכני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חוץ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מטעם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המשטר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האיראני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מגעים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אלה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כך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לשיטת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המאשימה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מגלמים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רף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חומרה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גבוה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וייחודי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מגעים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סוכן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חוץ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ואלה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בוצעו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בתקופה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ייחודית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במקום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ייחודי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ובאופן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כולל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לטעם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המאשימה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מצדיק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השתת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עונש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ייחודי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בכלל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זאת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כזה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יתן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ביטוי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לצורך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המשמעותי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החיוני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והמידי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בהרתעת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הרבים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מביצוע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עבירות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דומות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נוספות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עבור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ומטעם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המשטר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האיראני</w:t>
      </w:r>
      <w:r w:rsidDel="00000000" w:rsidR="00000000" w:rsidRPr="00000000">
        <w:rPr>
          <w:rFonts w:ascii="David" w:cs="David" w:eastAsia="David" w:hAnsi="David"/>
          <w:rtl w:val="0"/>
        </w:rPr>
        <w:t xml:space="preserve">". </w:t>
      </w:r>
    </w:p>
    <w:p w:rsidR="00000000" w:rsidDel="00000000" w:rsidP="00000000" w:rsidRDefault="00000000" w:rsidRPr="00000000" w14:paraId="000000AF">
      <w:pPr>
        <w:bidi w:val="1"/>
        <w:spacing w:line="360" w:lineRule="auto"/>
        <w:ind w:left="720" w:firstLine="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bidi w:val="1"/>
        <w:spacing w:line="360" w:lineRule="auto"/>
        <w:ind w:left="720" w:firstLine="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התובע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לעובדה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בנמצא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פסקי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דין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המציבים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רף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ענישה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דומה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קרוב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לרף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הענישה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המבוקש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ידי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התביעה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בוודאי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במקומות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בהם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בפועל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נגרם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נזק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קונקרטי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לביטחון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המדינה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אולם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עתר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להעניק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משקל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משמעותי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ודרמטי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לעובדה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מעשיו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בוצעו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במהלך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מלחמת</w:t>
      </w:r>
      <w:r w:rsidDel="00000000" w:rsidR="00000000" w:rsidRPr="00000000">
        <w:rPr>
          <w:rFonts w:ascii="David" w:cs="David" w:eastAsia="David" w:hAnsi="David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rtl w:val="1"/>
        </w:rPr>
        <w:t xml:space="preserve">חרבות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ברזל</w:t>
      </w:r>
      <w:r w:rsidDel="00000000" w:rsidR="00000000" w:rsidRPr="00000000">
        <w:rPr>
          <w:rFonts w:ascii="David" w:cs="David" w:eastAsia="David" w:hAnsi="David"/>
          <w:rtl w:val="1"/>
        </w:rPr>
        <w:t xml:space="preserve">". </w:t>
      </w:r>
      <w:r w:rsidDel="00000000" w:rsidR="00000000" w:rsidRPr="00000000">
        <w:rPr>
          <w:rFonts w:ascii="David" w:cs="David" w:eastAsia="David" w:hAnsi="David"/>
          <w:rtl w:val="1"/>
        </w:rPr>
        <w:t xml:space="preserve">מטעם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כך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הנטען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להעלות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רף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הענישה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במספר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שנות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מאסר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ביחס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לרף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הענישה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המקובל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מזה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שנים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רבות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</w:p>
    <w:p w:rsidR="00000000" w:rsidDel="00000000" w:rsidP="00000000" w:rsidRDefault="00000000" w:rsidRPr="00000000" w14:paraId="000000B1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bidi w:val="1"/>
        <w:spacing w:line="360" w:lineRule="auto"/>
        <w:ind w:left="720" w:firstLine="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רקע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הטיעון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האמור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עתרה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התביעה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לקביעת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מתחם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9 </w:t>
      </w:r>
      <w:r w:rsidDel="00000000" w:rsidR="00000000" w:rsidRPr="00000000">
        <w:rPr>
          <w:rFonts w:ascii="David" w:cs="David" w:eastAsia="David" w:hAnsi="David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rtl w:val="1"/>
        </w:rPr>
        <w:t xml:space="preserve"> - 14 </w:t>
      </w:r>
      <w:r w:rsidDel="00000000" w:rsidR="00000000" w:rsidRPr="00000000">
        <w:rPr>
          <w:rFonts w:ascii="David" w:cs="David" w:eastAsia="David" w:hAnsi="David"/>
          <w:rtl w:val="1"/>
        </w:rPr>
        <w:t xml:space="preserve">שנות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מאסר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וביקשה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להעמיד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עונשו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12 </w:t>
      </w:r>
      <w:r w:rsidDel="00000000" w:rsidR="00000000" w:rsidRPr="00000000">
        <w:rPr>
          <w:rFonts w:ascii="David" w:cs="David" w:eastAsia="David" w:hAnsi="David"/>
          <w:rtl w:val="1"/>
        </w:rPr>
        <w:t xml:space="preserve">שנות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מאסר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ורכיבי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ענישה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נלווים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עונש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נותן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לשיטתה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מענה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הולם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להרתעת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הרבים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באופן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המתיישב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הוראת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סעיף</w:t>
      </w:r>
      <w:r w:rsidDel="00000000" w:rsidR="00000000" w:rsidRPr="00000000">
        <w:rPr>
          <w:rFonts w:ascii="David" w:cs="David" w:eastAsia="David" w:hAnsi="David"/>
          <w:rtl w:val="1"/>
        </w:rPr>
        <w:t xml:space="preserve"> 40</w:t>
      </w:r>
      <w:r w:rsidDel="00000000" w:rsidR="00000000" w:rsidRPr="00000000">
        <w:rPr>
          <w:rFonts w:ascii="David" w:cs="David" w:eastAsia="David" w:hAnsi="David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לחוק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העונשין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</w:p>
    <w:p w:rsidR="00000000" w:rsidDel="00000000" w:rsidP="00000000" w:rsidRDefault="00000000" w:rsidRPr="00000000" w14:paraId="000000B3">
      <w:pPr>
        <w:bidi w:val="1"/>
        <w:spacing w:line="360" w:lineRule="auto"/>
        <w:ind w:left="720" w:firstLine="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bidi w:val="1"/>
        <w:spacing w:line="360" w:lineRule="auto"/>
        <w:ind w:left="720" w:firstLine="0"/>
        <w:jc w:val="both"/>
        <w:rPr>
          <w:rFonts w:ascii="David" w:cs="David" w:eastAsia="David" w:hAnsi="David"/>
          <w:u w:val="single"/>
        </w:rPr>
      </w:pP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תמצית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טיעוני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ההגנה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ודברו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האחרון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הנאשם</w:t>
      </w:r>
    </w:p>
    <w:p w:rsidR="00000000" w:rsidDel="00000000" w:rsidP="00000000" w:rsidRDefault="00000000" w:rsidRPr="00000000" w14:paraId="000000B5">
      <w:pPr>
        <w:bidi w:val="1"/>
        <w:spacing w:line="360" w:lineRule="auto"/>
        <w:ind w:left="720" w:firstLine="0"/>
        <w:jc w:val="both"/>
        <w:rPr>
          <w:rFonts w:ascii="David" w:cs="David" w:eastAsia="David" w:hAnsi="David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6.</w:t>
        <w:tab/>
      </w:r>
      <w:r w:rsidDel="00000000" w:rsidR="00000000" w:rsidRPr="00000000">
        <w:rPr>
          <w:rFonts w:ascii="David" w:cs="David" w:eastAsia="David" w:hAnsi="David"/>
          <w:rtl w:val="1"/>
        </w:rPr>
        <w:t xml:space="preserve">הסנגורים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עוה</w:t>
      </w:r>
      <w:r w:rsidDel="00000000" w:rsidR="00000000" w:rsidRPr="00000000">
        <w:rPr>
          <w:rFonts w:ascii="David" w:cs="David" w:eastAsia="David" w:hAnsi="David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אייל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בסרגליק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ועו</w:t>
      </w:r>
      <w:r w:rsidDel="00000000" w:rsidR="00000000" w:rsidRPr="00000000">
        <w:rPr>
          <w:rFonts w:ascii="David" w:cs="David" w:eastAsia="David" w:hAnsi="David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ממן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עמדו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בטיעוניהם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מכלול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העובדות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הרלוונטיות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כפי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שהן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עולות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מכתב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האישום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נתוניו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רף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הענישה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הנהוג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בפסיקת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בתי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המשפט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לאורך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השנים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rtl w:val="1"/>
        </w:rPr>
        <w:t xml:space="preserve">שכאמור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נמוך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באופן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משמעותי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מעתירת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התביעה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במקרים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חמורים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מהמקרה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דנן</w:t>
      </w:r>
      <w:r w:rsidDel="00000000" w:rsidR="00000000" w:rsidRPr="00000000">
        <w:rPr>
          <w:rFonts w:ascii="David" w:cs="David" w:eastAsia="David" w:hAnsi="David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rtl w:val="1"/>
        </w:rPr>
        <w:t xml:space="preserve">ועל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העונש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הראוי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לשיטתם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</w:p>
    <w:p w:rsidR="00000000" w:rsidDel="00000000" w:rsidP="00000000" w:rsidRDefault="00000000" w:rsidRPr="00000000" w14:paraId="000000B7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ab/>
      </w:r>
      <w:r w:rsidDel="00000000" w:rsidR="00000000" w:rsidRPr="00000000">
        <w:rPr>
          <w:rFonts w:ascii="David" w:cs="David" w:eastAsia="David" w:hAnsi="David"/>
          <w:rtl w:val="1"/>
        </w:rPr>
        <w:t xml:space="preserve">בהקשר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לרף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הענישה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הנהוג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ציין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עו</w:t>
      </w:r>
      <w:r w:rsidDel="00000000" w:rsidR="00000000" w:rsidRPr="00000000">
        <w:rPr>
          <w:rFonts w:ascii="David" w:cs="David" w:eastAsia="David" w:hAnsi="David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בסרגליק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הדברים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הבאים</w:t>
      </w:r>
      <w:r w:rsidDel="00000000" w:rsidR="00000000" w:rsidRPr="00000000">
        <w:rPr>
          <w:rFonts w:ascii="David" w:cs="David" w:eastAsia="David" w:hAnsi="David"/>
          <w:rtl w:val="1"/>
        </w:rPr>
        <w:t xml:space="preserve">: </w:t>
      </w:r>
    </w:p>
    <w:p w:rsidR="00000000" w:rsidDel="00000000" w:rsidP="00000000" w:rsidRDefault="00000000" w:rsidRPr="00000000" w14:paraId="000000B9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0"/>
        </w:rPr>
        <w:tab/>
        <w:t xml:space="preserve">"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המתחמים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שנקבעו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בפסיקה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מתייחסים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למעשים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יותר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חמורים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ולנסיבות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חמורות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יותר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שכן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כאמור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לעיל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חלק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מפסקי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הדין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עוסקים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בנאשמים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שביצעו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העבירה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סוכן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חוץ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מטעמים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אידאולוגיים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במטרה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לפגוע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בביטחון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המדינה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ומעשיהם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היו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משולבים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בעבירות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נוספות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שנועדו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לסייע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לאותה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מטרה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בהצהרת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נכונות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לשתף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פעולה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הגורמים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העוינים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שלא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קיים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בעניינו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0"/>
        </w:rPr>
        <w:t xml:space="preserve">". </w:t>
      </w:r>
    </w:p>
    <w:p w:rsidR="00000000" w:rsidDel="00000000" w:rsidP="00000000" w:rsidRDefault="00000000" w:rsidRPr="00000000" w14:paraId="000000BB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bidi w:val="1"/>
        <w:spacing w:line="360" w:lineRule="auto"/>
        <w:ind w:left="720" w:firstLine="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עו</w:t>
      </w:r>
      <w:r w:rsidDel="00000000" w:rsidR="00000000" w:rsidRPr="00000000">
        <w:rPr>
          <w:rFonts w:ascii="David" w:cs="David" w:eastAsia="David" w:hAnsi="David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בסרגליק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התייחס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למעשיו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כמעשים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מטופשים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אך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כאלה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שמאחוריהם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עמדה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כוונה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כלשהי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לפגיעה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בביטחון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המדינה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הודגש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הודה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בחקירתו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חשף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נתונים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רבים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היו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ידועים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לחוקרים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ושיתף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פעולה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באופן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מלא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מתוך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הבנה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עמוקה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הטעויות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שביצע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כך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נטען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כניסתו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הראשונה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לאיראן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נועדה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כדי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לקדם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התקשרות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עסקית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במהלך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כניסתו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השנייה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לאיראן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ניהל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חלק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מהשיחות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הסוכנים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האיראנים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מחשש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לסרב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לבקשתם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להיפגש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עמו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נוספת</w:t>
      </w:r>
      <w:r w:rsidDel="00000000" w:rsidR="00000000" w:rsidRPr="00000000">
        <w:rPr>
          <w:rFonts w:ascii="David" w:cs="David" w:eastAsia="David" w:hAnsi="David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rtl w:val="1"/>
        </w:rPr>
        <w:t xml:space="preserve">ראו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סעיף</w:t>
      </w:r>
      <w:r w:rsidDel="00000000" w:rsidR="00000000" w:rsidRPr="00000000">
        <w:rPr>
          <w:rFonts w:ascii="David" w:cs="David" w:eastAsia="David" w:hAnsi="David"/>
          <w:rtl w:val="1"/>
        </w:rPr>
        <w:t xml:space="preserve"> 38 </w:t>
      </w:r>
      <w:r w:rsidDel="00000000" w:rsidR="00000000" w:rsidRPr="00000000">
        <w:rPr>
          <w:rFonts w:ascii="David" w:cs="David" w:eastAsia="David" w:hAnsi="David"/>
          <w:rtl w:val="1"/>
        </w:rPr>
        <w:t xml:space="preserve">לכתב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האישום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המתוקן</w:t>
      </w:r>
      <w:r w:rsidDel="00000000" w:rsidR="00000000" w:rsidRPr="00000000">
        <w:rPr>
          <w:rFonts w:ascii="David" w:cs="David" w:eastAsia="David" w:hAnsi="David"/>
          <w:rtl w:val="1"/>
        </w:rPr>
        <w:t xml:space="preserve">). </w:t>
      </w:r>
      <w:r w:rsidDel="00000000" w:rsidR="00000000" w:rsidRPr="00000000">
        <w:rPr>
          <w:rFonts w:ascii="David" w:cs="David" w:eastAsia="David" w:hAnsi="David"/>
          <w:rtl w:val="1"/>
        </w:rPr>
        <w:t xml:space="preserve">עוד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ביקש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הסנגור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ליתן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משקל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להשפעתו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rtl w:val="1"/>
        </w:rPr>
        <w:t xml:space="preserve">אדי</w:t>
      </w:r>
      <w:r w:rsidDel="00000000" w:rsidR="00000000" w:rsidRPr="00000000">
        <w:rPr>
          <w:rFonts w:ascii="David" w:cs="David" w:eastAsia="David" w:hAnsi="David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כמי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שהפציר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להגיע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לאדמת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איראן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ושכנע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שעליו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ליתן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אמון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הוסבר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בהקשר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אלמלא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השפעתו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אותו</w:t>
      </w:r>
      <w:r w:rsidDel="00000000" w:rsidR="00000000" w:rsidRPr="00000000">
        <w:rPr>
          <w:rFonts w:ascii="David" w:cs="David" w:eastAsia="David" w:hAnsi="David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rtl w:val="1"/>
        </w:rPr>
        <w:t xml:space="preserve">אדי</w:t>
      </w:r>
      <w:r w:rsidDel="00000000" w:rsidR="00000000" w:rsidRPr="00000000">
        <w:rPr>
          <w:rFonts w:ascii="David" w:cs="David" w:eastAsia="David" w:hAnsi="David"/>
          <w:rtl w:val="1"/>
        </w:rPr>
        <w:t xml:space="preserve">",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מגיע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אדמת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איראן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עוד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נטען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במהלך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המפגשים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מסר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מידע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כלשהו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לגורמים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האיראנים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שהיה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כדי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לפגוע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בביטחון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המדינה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ואף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בדק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היתכנותן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המשימות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שהוצעו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rtl w:val="1"/>
        </w:rPr>
        <w:t xml:space="preserve">ראו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סעיף</w:t>
      </w:r>
      <w:r w:rsidDel="00000000" w:rsidR="00000000" w:rsidRPr="00000000">
        <w:rPr>
          <w:rFonts w:ascii="David" w:cs="David" w:eastAsia="David" w:hAnsi="David"/>
          <w:rtl w:val="1"/>
        </w:rPr>
        <w:t xml:space="preserve"> 18 </w:t>
      </w:r>
      <w:r w:rsidDel="00000000" w:rsidR="00000000" w:rsidRPr="00000000">
        <w:rPr>
          <w:rFonts w:ascii="David" w:cs="David" w:eastAsia="David" w:hAnsi="David"/>
          <w:rtl w:val="1"/>
        </w:rPr>
        <w:t xml:space="preserve">לכתב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האישום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המתוקן</w:t>
      </w:r>
      <w:r w:rsidDel="00000000" w:rsidR="00000000" w:rsidRPr="00000000">
        <w:rPr>
          <w:rFonts w:ascii="David" w:cs="David" w:eastAsia="David" w:hAnsi="David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rtl w:val="1"/>
        </w:rPr>
        <w:t xml:space="preserve">וממילא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ניסה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לבצען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</w:p>
    <w:p w:rsidR="00000000" w:rsidDel="00000000" w:rsidP="00000000" w:rsidRDefault="00000000" w:rsidRPr="00000000" w14:paraId="000000BD">
      <w:pPr>
        <w:bidi w:val="1"/>
        <w:spacing w:line="360" w:lineRule="auto"/>
        <w:ind w:left="720" w:firstLine="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bidi w:val="1"/>
        <w:spacing w:line="360" w:lineRule="auto"/>
        <w:ind w:left="720" w:firstLine="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עו</w:t>
      </w:r>
      <w:r w:rsidDel="00000000" w:rsidR="00000000" w:rsidRPr="00000000">
        <w:rPr>
          <w:rFonts w:ascii="David" w:cs="David" w:eastAsia="David" w:hAnsi="David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בסרגליק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הקדיש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פרק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בטיעוניו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לסקירת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נתוניו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גילו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המתקדם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מצבו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הבריאותי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המורכב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נסיבות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חייו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וכן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הקשיים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אותם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חווה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במהלך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ריצוי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תקופת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המעצר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כעצור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ביטחוני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בהקשר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נטען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ירד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במשקלו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בצורה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משמעותית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כבול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במשך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רוב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שעות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היום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וזוכה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לקבלת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אוכל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שאינו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מבושל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ובכמות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שאינה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מספקת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</w:p>
    <w:p w:rsidR="00000000" w:rsidDel="00000000" w:rsidP="00000000" w:rsidRDefault="00000000" w:rsidRPr="00000000" w14:paraId="000000BF">
      <w:pPr>
        <w:bidi w:val="1"/>
        <w:spacing w:line="360" w:lineRule="auto"/>
        <w:ind w:left="720" w:firstLine="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bidi w:val="1"/>
        <w:spacing w:line="360" w:lineRule="auto"/>
        <w:ind w:left="720" w:firstLine="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בסיכומו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טיעון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וגם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רקע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עדויות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ההגנה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לעונש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סברה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ההגנה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לקבוע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מתחם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עונש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הולם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6 </w:t>
      </w:r>
      <w:r w:rsidDel="00000000" w:rsidR="00000000" w:rsidRPr="00000000">
        <w:rPr>
          <w:rFonts w:ascii="David" w:cs="David" w:eastAsia="David" w:hAnsi="David"/>
          <w:rtl w:val="1"/>
        </w:rPr>
        <w:t xml:space="preserve">חודשי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מאסר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rtl w:val="1"/>
        </w:rPr>
        <w:t xml:space="preserve">-3 </w:t>
      </w:r>
      <w:r w:rsidDel="00000000" w:rsidR="00000000" w:rsidRPr="00000000">
        <w:rPr>
          <w:rFonts w:ascii="David" w:cs="David" w:eastAsia="David" w:hAnsi="David"/>
          <w:rtl w:val="1"/>
        </w:rPr>
        <w:t xml:space="preserve">שנות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מאסר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ולקבוע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עונשו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באופן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שיעמוד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9 </w:t>
      </w:r>
      <w:r w:rsidDel="00000000" w:rsidR="00000000" w:rsidRPr="00000000">
        <w:rPr>
          <w:rFonts w:ascii="David" w:cs="David" w:eastAsia="David" w:hAnsi="David"/>
          <w:rtl w:val="1"/>
        </w:rPr>
        <w:t xml:space="preserve">חודשי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מאסר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</w:p>
    <w:p w:rsidR="00000000" w:rsidDel="00000000" w:rsidP="00000000" w:rsidRDefault="00000000" w:rsidRPr="00000000" w14:paraId="000000C1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7.</w:t>
        <w:tab/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בדברו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האחרון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הביע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חרטה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מעשיו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מירר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בבכי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והסביר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עשה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טעות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איומה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וכעת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אינו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יכול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להביט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פניהם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ילדיו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ונכדיו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</w:p>
    <w:p w:rsidR="00000000" w:rsidDel="00000000" w:rsidP="00000000" w:rsidRDefault="00000000" w:rsidRPr="00000000" w14:paraId="000000C3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bidi w:val="1"/>
        <w:spacing w:line="360" w:lineRule="auto"/>
        <w:ind w:left="720" w:firstLine="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עוד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ציין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הדברים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הבאים</w:t>
      </w:r>
      <w:r w:rsidDel="00000000" w:rsidR="00000000" w:rsidRPr="00000000">
        <w:rPr>
          <w:rFonts w:ascii="David" w:cs="David" w:eastAsia="David" w:hAnsi="David"/>
          <w:rtl w:val="1"/>
        </w:rPr>
        <w:t xml:space="preserve">: </w:t>
      </w:r>
    </w:p>
    <w:p w:rsidR="00000000" w:rsidDel="00000000" w:rsidP="00000000" w:rsidRDefault="00000000" w:rsidRPr="00000000" w14:paraId="000000C5">
      <w:pPr>
        <w:bidi w:val="1"/>
        <w:spacing w:line="360" w:lineRule="auto"/>
        <w:ind w:left="720" w:firstLine="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bidi w:val="1"/>
        <w:spacing w:line="360" w:lineRule="auto"/>
        <w:ind w:left="720" w:firstLine="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0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יושבת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פה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כתבת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ואני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אומר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לצעירים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תעשו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הטעות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שאני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עשיתי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אני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מתחנן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תעשו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תשתפו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פעולה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האיראנים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נשארו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לי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כמה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שנים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לחיות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תן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לי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להיות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הילדים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והנכדים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שלי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אני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מתחנן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סבא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שלי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נהרג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בשביל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המדינה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האחים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שלי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שירתו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אני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שירתתי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והילדים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שלי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משרתים</w:t>
      </w:r>
      <w:r w:rsidDel="00000000" w:rsidR="00000000" w:rsidRPr="00000000">
        <w:rPr>
          <w:rFonts w:ascii="David" w:cs="David" w:eastAsia="David" w:hAnsi="David"/>
          <w:rtl w:val="0"/>
        </w:rPr>
        <w:t xml:space="preserve">". </w:t>
      </w:r>
    </w:p>
    <w:p w:rsidR="00000000" w:rsidDel="00000000" w:rsidP="00000000" w:rsidRDefault="00000000" w:rsidRPr="00000000" w14:paraId="000000C7">
      <w:pPr>
        <w:bidi w:val="1"/>
        <w:spacing w:line="360" w:lineRule="auto"/>
        <w:ind w:left="720" w:firstLine="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bidi w:val="1"/>
        <w:spacing w:line="360" w:lineRule="auto"/>
        <w:ind w:left="720" w:firstLine="0"/>
        <w:jc w:val="both"/>
        <w:rPr>
          <w:rFonts w:ascii="David" w:cs="David" w:eastAsia="David" w:hAnsi="David"/>
          <w:u w:val="single"/>
        </w:rPr>
      </w:pP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דיון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והכרעה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 </w:t>
      </w:r>
    </w:p>
    <w:p w:rsidR="00000000" w:rsidDel="00000000" w:rsidP="00000000" w:rsidRDefault="00000000" w:rsidRPr="00000000" w14:paraId="000000C9">
      <w:pPr>
        <w:bidi w:val="1"/>
        <w:spacing w:line="360" w:lineRule="auto"/>
        <w:ind w:left="720" w:firstLine="0"/>
        <w:jc w:val="both"/>
        <w:rPr>
          <w:rFonts w:ascii="David" w:cs="David" w:eastAsia="David" w:hAnsi="David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bidi w:val="1"/>
        <w:spacing w:line="360" w:lineRule="auto"/>
        <w:ind w:left="720" w:firstLine="0"/>
        <w:jc w:val="both"/>
        <w:rPr>
          <w:rFonts w:ascii="David" w:cs="David" w:eastAsia="David" w:hAnsi="David"/>
          <w:u w:val="single"/>
        </w:rPr>
      </w:pP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קביעת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מתחם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העונש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ההולם</w:t>
      </w:r>
    </w:p>
    <w:p w:rsidR="00000000" w:rsidDel="00000000" w:rsidP="00000000" w:rsidRDefault="00000000" w:rsidRPr="00000000" w14:paraId="000000CB">
      <w:pPr>
        <w:bidi w:val="1"/>
        <w:spacing w:line="360" w:lineRule="auto"/>
        <w:ind w:left="720" w:firstLine="0"/>
        <w:jc w:val="both"/>
        <w:rPr>
          <w:rFonts w:ascii="David" w:cs="David" w:eastAsia="David" w:hAnsi="David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8.</w:t>
        <w:tab/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מתוך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מניע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כלכלי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ביצע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עבירות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חמורות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מגע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סוכן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חוץ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וכניסה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למדינת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אויב</w:t>
      </w:r>
      <w:r w:rsidDel="00000000" w:rsidR="00000000" w:rsidRPr="00000000">
        <w:rPr>
          <w:rFonts w:ascii="David" w:cs="David" w:eastAsia="David" w:hAnsi="David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איראן</w:t>
      </w:r>
      <w:r w:rsidDel="00000000" w:rsidR="00000000" w:rsidRPr="00000000">
        <w:rPr>
          <w:rFonts w:ascii="David" w:cs="David" w:eastAsia="David" w:hAnsi="David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rtl w:val="1"/>
        </w:rPr>
        <w:t xml:space="preserve">ועשה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במהלך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מלחמת</w:t>
      </w:r>
      <w:r w:rsidDel="00000000" w:rsidR="00000000" w:rsidRPr="00000000">
        <w:rPr>
          <w:rFonts w:ascii="David" w:cs="David" w:eastAsia="David" w:hAnsi="David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rtl w:val="1"/>
        </w:rPr>
        <w:t xml:space="preserve">חרבות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ברזל</w:t>
      </w:r>
      <w:r w:rsidDel="00000000" w:rsidR="00000000" w:rsidRPr="00000000">
        <w:rPr>
          <w:rFonts w:ascii="David" w:cs="David" w:eastAsia="David" w:hAnsi="David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rtl w:val="1"/>
        </w:rPr>
        <w:t xml:space="preserve">תוך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שהמדינה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נתונה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להתקפות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נפשעות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מצד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המשטר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האיראני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ושלוחיו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אומר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כבר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בפתח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הדברים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מצאתי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טעם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בעמדת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התביעה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ביחס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למשקל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שיש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ליתן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לעיתוי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ביצוע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העבירות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הן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מהטעם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שהמציאות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המחישה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לכלל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הציבור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הסכנות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העצומות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הטמונות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בהתנהלות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המשטר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האיראני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והן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מהטעם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ניתן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לקבל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שיתוף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פעולה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כלשהו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אפילו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עסקי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אזרחי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לאויב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המשמעותי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ביותר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מדינת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והכל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בזמן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שחיילי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צה</w:t>
      </w:r>
      <w:r w:rsidDel="00000000" w:rsidR="00000000" w:rsidRPr="00000000">
        <w:rPr>
          <w:rFonts w:ascii="David" w:cs="David" w:eastAsia="David" w:hAnsi="David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וכוחות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הביטחון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הנוספים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נלחמים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במספר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חזיתות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מול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גורמים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עוינים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דומה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מחלוקת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אלה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זוכים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למימון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ותמיכת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המשטר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באיראן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</w:p>
    <w:p w:rsidR="00000000" w:rsidDel="00000000" w:rsidP="00000000" w:rsidRDefault="00000000" w:rsidRPr="00000000" w14:paraId="000000CD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ab/>
      </w:r>
      <w:r w:rsidDel="00000000" w:rsidR="00000000" w:rsidRPr="00000000">
        <w:rPr>
          <w:rFonts w:ascii="David" w:cs="David" w:eastAsia="David" w:hAnsi="David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צדק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בעמדת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התביעה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לפיה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גזר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הדין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צריך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לשקף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מימד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משמעותי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הרתעה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ולשדר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מסר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מובהק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וברור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בדבר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התג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העונשי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שיש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להצמיד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לקיומם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קשרים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פסולים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ואסורים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אזרחים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ישראליים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לחורשי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רעתנו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</w:p>
    <w:p w:rsidR="00000000" w:rsidDel="00000000" w:rsidP="00000000" w:rsidRDefault="00000000" w:rsidRPr="00000000" w14:paraId="000000CF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ab/>
      </w:r>
      <w:r w:rsidDel="00000000" w:rsidR="00000000" w:rsidRPr="00000000">
        <w:rPr>
          <w:rFonts w:ascii="David" w:cs="David" w:eastAsia="David" w:hAnsi="David"/>
          <w:rtl w:val="1"/>
        </w:rPr>
        <w:t xml:space="preserve">לצד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זאת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להעניק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משקל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להודאת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והבעת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החרטה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וכן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לעובדה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הלכה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מושרשת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בשיטת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המשפט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העלאת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רף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ענישה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צריכה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להיעשות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באופן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מדורג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ומובנה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באופן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חד</w:t>
      </w:r>
      <w:r w:rsidDel="00000000" w:rsidR="00000000" w:rsidRPr="00000000">
        <w:rPr>
          <w:rFonts w:ascii="David" w:cs="David" w:eastAsia="David" w:hAnsi="David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גבו</w:t>
      </w:r>
      <w:r w:rsidDel="00000000" w:rsidR="00000000" w:rsidRPr="00000000">
        <w:rPr>
          <w:rFonts w:ascii="David" w:cs="David" w:eastAsia="David" w:hAnsi="David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בודד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</w:p>
    <w:p w:rsidR="00000000" w:rsidDel="00000000" w:rsidP="00000000" w:rsidRDefault="00000000" w:rsidRPr="00000000" w14:paraId="000000D1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9.</w:t>
        <w:tab/>
      </w:r>
      <w:r w:rsidDel="00000000" w:rsidR="00000000" w:rsidRPr="00000000">
        <w:rPr>
          <w:rFonts w:ascii="David" w:cs="David" w:eastAsia="David" w:hAnsi="David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צורך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להרחיב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בדבר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הערכים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המוגנים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שנפגעו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שהמרכזי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שבהם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שמירה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ביטחון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המדינה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עוצמת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הפגיעה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בערכים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המוגנים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קשורה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במישרין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למצב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נתונה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מדינת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מאז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יום</w:t>
      </w:r>
      <w:r w:rsidDel="00000000" w:rsidR="00000000" w:rsidRPr="00000000">
        <w:rPr>
          <w:rFonts w:ascii="David" w:cs="David" w:eastAsia="David" w:hAnsi="David"/>
          <w:rtl w:val="1"/>
        </w:rPr>
        <w:t xml:space="preserve"> 7.10.23 </w:t>
      </w:r>
      <w:r w:rsidDel="00000000" w:rsidR="00000000" w:rsidRPr="00000000">
        <w:rPr>
          <w:rFonts w:ascii="David" w:cs="David" w:eastAsia="David" w:hAnsi="David"/>
          <w:rtl w:val="1"/>
        </w:rPr>
        <w:t xml:space="preserve">ולנסיבות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ביצוע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העבירות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D3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bidi w:val="1"/>
        <w:spacing w:line="360" w:lineRule="auto"/>
        <w:ind w:left="720" w:firstLine="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אתמקד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אפוא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באותן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נסיבות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המשפיעות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קביעת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מתחם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העונש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ההולם</w:t>
      </w:r>
      <w:r w:rsidDel="00000000" w:rsidR="00000000" w:rsidRPr="00000000">
        <w:rPr>
          <w:rFonts w:ascii="David" w:cs="David" w:eastAsia="David" w:hAnsi="David"/>
          <w:rtl w:val="1"/>
        </w:rPr>
        <w:t xml:space="preserve">.  </w:t>
      </w:r>
    </w:p>
    <w:p w:rsidR="00000000" w:rsidDel="00000000" w:rsidP="00000000" w:rsidRDefault="00000000" w:rsidRPr="00000000" w14:paraId="000000D5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bidi w:val="1"/>
        <w:spacing w:line="360" w:lineRule="auto"/>
        <w:ind w:left="720" w:firstLine="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(</w:t>
      </w:r>
      <w:r w:rsidDel="00000000" w:rsidR="00000000" w:rsidRPr="00000000">
        <w:rPr>
          <w:rFonts w:ascii="David" w:cs="David" w:eastAsia="David" w:hAnsi="David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rtl w:val="1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טיב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המגעים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שניהל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הגורמים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האיראנים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-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כתב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האישום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המתוקן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בשני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המפגשים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בהם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השתתף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אדמת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איראן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התבקש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לבצע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משימות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בעלות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פוטנציאל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פגיעה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משמעותי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באזרחי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המדינה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בבעלי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תפקידים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בכירים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ובביטחון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המדינה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</w:p>
    <w:p w:rsidR="00000000" w:rsidDel="00000000" w:rsidP="00000000" w:rsidRDefault="00000000" w:rsidRPr="00000000" w14:paraId="000000D7">
      <w:pPr>
        <w:bidi w:val="1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bidi w:val="1"/>
        <w:spacing w:line="36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b w:val="1"/>
          <w:rtl w:val="1"/>
        </w:rPr>
        <w:t xml:space="preserve">היקף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המפגשים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בהם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השתתף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הנאשם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ומשמעות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קיומו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המפגש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השני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עיון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בכתב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האישום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המתוקן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מלמד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הנאשם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השתתף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מפגשים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המפגש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נמשך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יומיים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מספר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הסוכנים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האיראנים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להביט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מכתב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האישום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המתוקן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המפגש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הראשון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ככזה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אליו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הובל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הנאשם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שצוין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בכתב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האישום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המתוקן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היתכנות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המשימות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שהתבקש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לבצע</w:t>
      </w:r>
      <w:r w:rsidDel="00000000" w:rsidR="00000000" w:rsidRPr="00000000">
        <w:rPr>
          <w:rtl w:val="1"/>
        </w:rPr>
        <w:t xml:space="preserve">), </w:t>
      </w:r>
      <w:r w:rsidDel="00000000" w:rsidR="00000000" w:rsidRPr="00000000">
        <w:rPr>
          <w:rtl w:val="1"/>
        </w:rPr>
        <w:t xml:space="preserve">שונים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לחלוטין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הדברים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ביחס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למפגש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השני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ממושך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ומשמעותי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ביחס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למפגש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יכול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הנאשם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להסתתר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מאחורי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טענה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לפיה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פותה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והובל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שכן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מפגש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ובשלב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הטלפוניות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היטב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ייעודו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המפגש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המשתמע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מכך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D9">
      <w:pPr>
        <w:bidi w:val="1"/>
        <w:spacing w:line="36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bidi w:val="1"/>
        <w:spacing w:line="360" w:lineRule="auto"/>
        <w:ind w:left="720" w:firstLine="0"/>
        <w:jc w:val="both"/>
        <w:rPr/>
      </w:pPr>
      <w:r w:rsidDel="00000000" w:rsidR="00000000" w:rsidRPr="00000000">
        <w:rPr>
          <w:rtl w:val="1"/>
        </w:rPr>
        <w:t xml:space="preserve">התובע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כהן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בעצם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ההגעה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למפגש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קו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המים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המלמד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חומרת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מעשיו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הנאשם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נכון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להסכים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טיעונו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בהקשר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נוכח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הצעותיו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האקטיביות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הנאשם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לגייס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מוסד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בפנסיה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לטובת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גיוסו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סוכן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כפול</w:t>
      </w:r>
      <w:r w:rsidDel="00000000" w:rsidR="00000000" w:rsidRPr="00000000">
        <w:rPr>
          <w:rtl w:val="1"/>
        </w:rPr>
        <w:t xml:space="preserve">" (</w:t>
      </w:r>
      <w:r w:rsidDel="00000000" w:rsidR="00000000" w:rsidRPr="00000000">
        <w:rPr>
          <w:rtl w:val="1"/>
        </w:rPr>
        <w:t xml:space="preserve">ראו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סעיף</w:t>
      </w:r>
      <w:r w:rsidDel="00000000" w:rsidR="00000000" w:rsidRPr="00000000">
        <w:rPr>
          <w:rtl w:val="1"/>
        </w:rPr>
        <w:t xml:space="preserve"> 39(4) </w:t>
      </w:r>
      <w:r w:rsidDel="00000000" w:rsidR="00000000" w:rsidRPr="00000000">
        <w:rPr>
          <w:rtl w:val="1"/>
        </w:rPr>
        <w:t xml:space="preserve">לכתב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האישום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המתוקן</w:t>
      </w:r>
      <w:r w:rsidDel="00000000" w:rsidR="00000000" w:rsidRPr="00000000">
        <w:rPr>
          <w:rtl w:val="1"/>
        </w:rPr>
        <w:t xml:space="preserve">). </w:t>
      </w:r>
      <w:r w:rsidDel="00000000" w:rsidR="00000000" w:rsidRPr="00000000">
        <w:rPr>
          <w:rtl w:val="1"/>
        </w:rPr>
        <w:t xml:space="preserve">אני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להסכמת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התביעה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העולה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מכתב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האישום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המתוקן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לפיה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במהלך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המפגש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השני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שנמשך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יומיים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חש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הנאשם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חשש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מסוים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לקטוע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המפגש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לזכור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הגעתו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למפגש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הייתה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נושאי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הפגישה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יהיו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הנושאים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במפגש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הראשון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שמשקלו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טיעון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בעיני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DB">
      <w:pPr>
        <w:bidi w:val="1"/>
        <w:spacing w:line="36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bidi w:val="1"/>
        <w:spacing w:line="360" w:lineRule="auto"/>
        <w:ind w:left="720" w:firstLine="0"/>
        <w:jc w:val="both"/>
        <w:rPr/>
      </w:pPr>
      <w:r w:rsidDel="00000000" w:rsidR="00000000" w:rsidRPr="00000000">
        <w:rPr>
          <w:rtl w:val="1"/>
        </w:rPr>
        <w:t xml:space="preserve">נתון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רלוונטי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נוסף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נוגע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שעבר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המפגשים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מעל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חודשים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וגם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ללמד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נכונותו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ונחישותו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הנאשם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להתמיד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הפסול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שהחל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גורמים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איראנים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ממניע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כלכלי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נכונות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ונחישות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נלמדת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נכנס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הנאשם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לשטח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איראן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שהוברח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בדרכים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שונות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ובמעורבות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מספר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אנשים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DD">
      <w:pPr>
        <w:bidi w:val="1"/>
        <w:spacing w:line="36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bidi w:val="1"/>
        <w:spacing w:line="360" w:lineRule="auto"/>
        <w:ind w:left="720" w:firstLine="0"/>
        <w:jc w:val="both"/>
        <w:rPr/>
      </w:pP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מדובר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במפגש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אקראי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אפילו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מתוכנן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אדמתה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ניטרלית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מפגשים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שהתרחשו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בשטחה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האויבת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הגדולה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מדינת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אליהם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הנאשם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בדרכים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נסתרות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ומתוחכמות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וכללו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מהצעות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מימוש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משמעותן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הייתה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פגיעה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חמורה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בביטחון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המדינה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DF">
      <w:pPr>
        <w:bidi w:val="1"/>
        <w:spacing w:line="360" w:lineRule="auto"/>
        <w:ind w:left="720" w:firstLine="0"/>
        <w:jc w:val="both"/>
        <w:rPr>
          <w:rFonts w:ascii="David" w:cs="David" w:eastAsia="David" w:hAnsi="Davi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bidi w:val="1"/>
        <w:spacing w:line="360" w:lineRule="auto"/>
        <w:ind w:left="720" w:firstLine="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(</w:t>
      </w:r>
      <w:r w:rsidDel="00000000" w:rsidR="00000000" w:rsidRPr="00000000">
        <w:rPr>
          <w:rFonts w:ascii="David" w:cs="David" w:eastAsia="David" w:hAnsi="David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rtl w:val="1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הרציונל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שעמד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ביסוד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מעשיו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הנאשם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חולק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רציונל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אידיאולוגי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העומד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ברקע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ביצוע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עבירות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בטחוניות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חמור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יותר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מרציונל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כלכלי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הגם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שלעיתים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רבות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מעשים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חמורים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מבוצעים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מתוך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רציונל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כלכלי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</w:p>
    <w:p w:rsidR="00000000" w:rsidDel="00000000" w:rsidP="00000000" w:rsidRDefault="00000000" w:rsidRPr="00000000" w14:paraId="000000E1">
      <w:pPr>
        <w:bidi w:val="1"/>
        <w:spacing w:line="360" w:lineRule="auto"/>
        <w:ind w:left="720" w:firstLine="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bidi w:val="1"/>
        <w:spacing w:line="360" w:lineRule="auto"/>
        <w:ind w:left="720" w:firstLine="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זאת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חשוב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להדגיש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הדברים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הבאים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rtl w:val="1"/>
        </w:rPr>
        <w:t xml:space="preserve">נראה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מכתב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האישום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המתוקן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rtl w:val="1"/>
        </w:rPr>
        <w:t xml:space="preserve">שיטת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הפעולה</w:t>
      </w:r>
      <w:r w:rsidDel="00000000" w:rsidR="00000000" w:rsidRPr="00000000">
        <w:rPr>
          <w:rFonts w:ascii="David" w:cs="David" w:eastAsia="David" w:hAnsi="David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אותם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גורמים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איראנים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כרוכה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במתן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הטבות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כספיות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לאלה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המשתפים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איתם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פעולה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ומכאן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שגם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קיימת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הבחנה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מסוימת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מניע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אידיאולוגי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למניע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כלכלי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לראות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בהבחנה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כמלמדת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פער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משמעותי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ברמת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החומרה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</w:p>
    <w:p w:rsidR="00000000" w:rsidDel="00000000" w:rsidP="00000000" w:rsidRDefault="00000000" w:rsidRPr="00000000" w14:paraId="000000E3">
      <w:pPr>
        <w:bidi w:val="1"/>
        <w:spacing w:line="360" w:lineRule="auto"/>
        <w:ind w:left="720" w:firstLine="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bidi w:val="1"/>
        <w:spacing w:line="36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b w:val="1"/>
          <w:rtl w:val="1"/>
        </w:rPr>
        <w:t xml:space="preserve">עיתוי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ביצוע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המעשים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עמדתי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בפתח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הדברים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מצאתי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בדברי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התביעה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משקל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משמעותי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לעובדה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מעשיו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הנאשם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בוצעו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צה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וכוחות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הביטחון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מצויים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בעיצומה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מערכה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קשה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אמנם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פסול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גורמים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איראנים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חמור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עיתוי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דומני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פיתוחו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לחימה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חומרתו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בהיבט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הסמלי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E5">
      <w:pPr>
        <w:bidi w:val="1"/>
        <w:spacing w:line="36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bidi w:val="1"/>
        <w:spacing w:line="36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b w:val="1"/>
          <w:rtl w:val="1"/>
        </w:rPr>
        <w:t xml:space="preserve">הכספים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שקיבל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הנאשם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וטובות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ההנאה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שהפיק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מהקשר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סכומי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הכסף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שקיבל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הנאשם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מהגורמים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האיראנים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גבוהים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מכתב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האישום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הנאשם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לטובות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נוספות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כגון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ואירוח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המלך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סעיף</w:t>
      </w:r>
      <w:r w:rsidDel="00000000" w:rsidR="00000000" w:rsidRPr="00000000">
        <w:rPr>
          <w:rtl w:val="1"/>
        </w:rPr>
        <w:t xml:space="preserve"> 36 </w:t>
      </w:r>
      <w:r w:rsidDel="00000000" w:rsidR="00000000" w:rsidRPr="00000000">
        <w:rPr>
          <w:rtl w:val="1"/>
        </w:rPr>
        <w:t xml:space="preserve">לכתב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האישום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המתוקן</w:t>
      </w:r>
      <w:r w:rsidDel="00000000" w:rsidR="00000000" w:rsidRPr="00000000">
        <w:rPr>
          <w:rtl w:val="1"/>
        </w:rPr>
        <w:t xml:space="preserve">). </w:t>
      </w:r>
      <w:r w:rsidDel="00000000" w:rsidR="00000000" w:rsidRPr="00000000">
        <w:rPr>
          <w:rtl w:val="1"/>
        </w:rPr>
        <w:t xml:space="preserve">כמו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נתון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רלוונטי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נתון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לשקלל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במסגרת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המתחם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E7">
      <w:pPr>
        <w:bidi w:val="1"/>
        <w:spacing w:line="36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bidi w:val="1"/>
        <w:spacing w:line="36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b w:val="1"/>
          <w:rtl w:val="1"/>
        </w:rPr>
        <w:t xml:space="preserve">פוטנציאל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הנזק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חולק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משימות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שהתבקש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הנאשם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לבצע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פוטנציאל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נזק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משמעותי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דרמטי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ולנתון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משמעות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במסגרת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קביעת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המתחם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המדובר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במשימת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צילום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בלבד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אלא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משימות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משמעותיות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התנקשות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בבעלי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תפקידים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בכירים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E9">
      <w:pPr>
        <w:bidi w:val="1"/>
        <w:spacing w:line="36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bidi w:val="1"/>
        <w:spacing w:line="36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ז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b w:val="1"/>
          <w:rtl w:val="1"/>
        </w:rPr>
        <w:t xml:space="preserve">העובדה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הנאשם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פעל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לטובת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מימוש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המשימות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ובפועל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גרם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נזק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לביטחון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המדינה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מחלוקת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הנאשם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ניסה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ביצוע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המשימות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בוודאי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במפגש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הראשון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ראו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סעיף</w:t>
      </w:r>
      <w:r w:rsidDel="00000000" w:rsidR="00000000" w:rsidRPr="00000000">
        <w:rPr>
          <w:rtl w:val="1"/>
        </w:rPr>
        <w:t xml:space="preserve"> 18 </w:t>
      </w:r>
      <w:r w:rsidDel="00000000" w:rsidR="00000000" w:rsidRPr="00000000">
        <w:rPr>
          <w:rtl w:val="1"/>
        </w:rPr>
        <w:t xml:space="preserve">לכתב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האישום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המתוקן</w:t>
      </w:r>
      <w:r w:rsidDel="00000000" w:rsidR="00000000" w:rsidRPr="00000000">
        <w:rPr>
          <w:rtl w:val="1"/>
        </w:rPr>
        <w:t xml:space="preserve">).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מחלוקת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מעשיו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הנאשם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גרמו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בפועל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נזק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לביטחון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המדינה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EB">
      <w:pPr>
        <w:bidi w:val="1"/>
        <w:spacing w:line="36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bidi w:val="1"/>
        <w:spacing w:line="360" w:lineRule="auto"/>
        <w:ind w:left="720" w:firstLine="0"/>
        <w:jc w:val="both"/>
        <w:rPr/>
      </w:pPr>
      <w:r w:rsidDel="00000000" w:rsidR="00000000" w:rsidRPr="00000000">
        <w:rPr>
          <w:rtl w:val="1"/>
        </w:rPr>
        <w:t xml:space="preserve">לצד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זאת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ובהתייחס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למפגש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השני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להדגיש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נתונים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הראשון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David" w:cs="David" w:eastAsia="David" w:hAnsi="David"/>
          <w:rtl w:val="0"/>
        </w:rPr>
        <w:t xml:space="preserve">-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מכתב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האישום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המתוקן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העובדה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גובשה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הסכמה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הנאשם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לסוכנים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האיראניים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נעוצה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היתר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בדרישותיו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הכספיות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הגבוהות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הנאשם</w:t>
      </w:r>
      <w:r w:rsidDel="00000000" w:rsidR="00000000" w:rsidRPr="00000000">
        <w:rPr>
          <w:rtl w:val="1"/>
        </w:rPr>
        <w:t xml:space="preserve">; </w:t>
      </w:r>
      <w:r w:rsidDel="00000000" w:rsidR="00000000" w:rsidRPr="00000000">
        <w:rPr>
          <w:b w:val="1"/>
          <w:rtl w:val="1"/>
        </w:rPr>
        <w:t xml:space="preserve">השנייה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David" w:cs="David" w:eastAsia="David" w:hAnsi="David"/>
          <w:rtl w:val="0"/>
        </w:rPr>
        <w:t xml:space="preserve">-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המפגש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השני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ולאחר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שהנאשם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נחשף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לאותן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משימות</w:t>
      </w:r>
      <w:r w:rsidDel="00000000" w:rsidR="00000000" w:rsidRPr="00000000">
        <w:rPr>
          <w:rtl w:val="1"/>
        </w:rPr>
        <w:t xml:space="preserve">",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ביקש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אדי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לקבל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מכשיר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סלולארי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לעמוד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הסוכנים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האיראניים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דווקא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שסירב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לבקשתו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וציין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הסוכנים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האיראניים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שיעמדו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בעתיד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שגמלה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בליבו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הנאשם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ההחלטה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וחצי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דבר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מדוע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מכשיר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לטובת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יצירת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קשר</w:t>
      </w:r>
      <w:r w:rsidDel="00000000" w:rsidR="00000000" w:rsidRPr="00000000">
        <w:rPr>
          <w:rtl w:val="1"/>
        </w:rPr>
        <w:t xml:space="preserve">?; </w:t>
      </w:r>
      <w:r w:rsidDel="00000000" w:rsidR="00000000" w:rsidRPr="00000000">
        <w:rPr>
          <w:b w:val="1"/>
          <w:rtl w:val="1"/>
        </w:rPr>
        <w:t xml:space="preserve">השלישית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הנאשם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נעצר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המפגש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השני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שבניגוד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למפגש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הראשון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לגביו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הוסכם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הנאשם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לטובת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קידום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המשימות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האירועים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מתפתחים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בעקבות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המפגש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השני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ED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10.</w:t>
        <w:tab/>
      </w:r>
      <w:r w:rsidDel="00000000" w:rsidR="00000000" w:rsidRPr="00000000">
        <w:rPr>
          <w:rFonts w:ascii="David" w:cs="David" w:eastAsia="David" w:hAnsi="David"/>
          <w:rtl w:val="1"/>
        </w:rPr>
        <w:t xml:space="preserve">כעת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ולאחר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שנסקרו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הנסיבות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הקשורות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בביצוע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העבירה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להידרש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למדיניות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הענישה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הנוהגת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כפי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שציין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התובע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בהגינותו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משקפת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רף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עונשי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מתון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באופן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משמעותי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מהרף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העונשי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עותרת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התביעה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במקרה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הנוכחי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</w:p>
    <w:p w:rsidR="00000000" w:rsidDel="00000000" w:rsidP="00000000" w:rsidRDefault="00000000" w:rsidRPr="00000000" w14:paraId="000000EF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ab/>
      </w:r>
      <w:r w:rsidDel="00000000" w:rsidR="00000000" w:rsidRPr="00000000">
        <w:rPr>
          <w:rFonts w:ascii="David" w:cs="David" w:eastAsia="David" w:hAnsi="David"/>
          <w:rtl w:val="1"/>
        </w:rPr>
        <w:t xml:space="preserve">מתוך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כלל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פסקי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הדין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ראיתי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להפנות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לפסקי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הדין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הבאים</w:t>
      </w:r>
      <w:r w:rsidDel="00000000" w:rsidR="00000000" w:rsidRPr="00000000">
        <w:rPr>
          <w:rFonts w:ascii="David" w:cs="David" w:eastAsia="David" w:hAnsi="David"/>
          <w:rtl w:val="1"/>
        </w:rPr>
        <w:t xml:space="preserve">:  </w:t>
      </w:r>
    </w:p>
    <w:p w:rsidR="00000000" w:rsidDel="00000000" w:rsidP="00000000" w:rsidRDefault="00000000" w:rsidRPr="00000000" w14:paraId="000000F1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bidi w:val="1"/>
        <w:spacing w:line="360" w:lineRule="auto"/>
        <w:ind w:left="720" w:firstLine="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rtl w:val="1"/>
        </w:rPr>
        <w:t xml:space="preserve"> 6699/17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מדינת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מסארוה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 (2.11.2017) -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המשיב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הורשעו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לאחר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שמיעת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ראיות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בעבירות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קשירת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קשר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לפשע</w:t>
      </w:r>
      <w:r w:rsidDel="00000000" w:rsidR="00000000" w:rsidRPr="00000000">
        <w:rPr>
          <w:rFonts w:ascii="David" w:cs="David" w:eastAsia="David" w:hAnsi="David"/>
          <w:rtl w:val="1"/>
        </w:rPr>
        <w:t xml:space="preserve">; </w:t>
      </w:r>
      <w:r w:rsidDel="00000000" w:rsidR="00000000" w:rsidRPr="00000000">
        <w:rPr>
          <w:rFonts w:ascii="David" w:cs="David" w:eastAsia="David" w:hAnsi="David"/>
          <w:rtl w:val="1"/>
        </w:rPr>
        <w:t xml:space="preserve">מגע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סוכן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חוץ</w:t>
      </w:r>
      <w:r w:rsidDel="00000000" w:rsidR="00000000" w:rsidRPr="00000000">
        <w:rPr>
          <w:rFonts w:ascii="David" w:cs="David" w:eastAsia="David" w:hAnsi="David"/>
          <w:rtl w:val="1"/>
        </w:rPr>
        <w:t xml:space="preserve">; </w:t>
      </w:r>
      <w:r w:rsidDel="00000000" w:rsidR="00000000" w:rsidRPr="00000000">
        <w:rPr>
          <w:rFonts w:ascii="David" w:cs="David" w:eastAsia="David" w:hAnsi="David"/>
          <w:rtl w:val="1"/>
        </w:rPr>
        <w:t xml:space="preserve">ותמיכה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בארגון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טרור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שעמד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בקשר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פעילי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הארגון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דאעש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בארץ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ובחו</w:t>
      </w:r>
      <w:r w:rsidDel="00000000" w:rsidR="00000000" w:rsidRPr="00000000">
        <w:rPr>
          <w:rFonts w:ascii="David" w:cs="David" w:eastAsia="David" w:hAnsi="David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הפיץ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חומרי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הסברה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הארגון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ברשתות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החברתיות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ובדק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סוכן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הארגון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אפשרות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לצאת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לסוריה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להצטרף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לארגון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ולהילחם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בשורותיו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תכנון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יצא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לפועל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ובמקום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החליט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המשיב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לבצע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פיגוע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נגד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חיילי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צה</w:t>
      </w:r>
      <w:r w:rsidDel="00000000" w:rsidR="00000000" w:rsidRPr="00000000">
        <w:rPr>
          <w:rFonts w:ascii="David" w:cs="David" w:eastAsia="David" w:hAnsi="David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אולם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נעצר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לפני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שהספיק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לבצע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המתוכנן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ביהמ</w:t>
      </w:r>
      <w:r w:rsidDel="00000000" w:rsidR="00000000" w:rsidRPr="00000000">
        <w:rPr>
          <w:rFonts w:ascii="David" w:cs="David" w:eastAsia="David" w:hAnsi="David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קמא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קבע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מתחם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עונש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הולם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36 -50 </w:t>
      </w:r>
      <w:r w:rsidDel="00000000" w:rsidR="00000000" w:rsidRPr="00000000">
        <w:rPr>
          <w:rFonts w:ascii="David" w:cs="David" w:eastAsia="David" w:hAnsi="David"/>
          <w:rtl w:val="1"/>
        </w:rPr>
        <w:t xml:space="preserve">חודשי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מאסר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בפועל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וגזר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עליו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עונש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46 </w:t>
      </w:r>
      <w:r w:rsidDel="00000000" w:rsidR="00000000" w:rsidRPr="00000000">
        <w:rPr>
          <w:rFonts w:ascii="David" w:cs="David" w:eastAsia="David" w:hAnsi="David"/>
          <w:rtl w:val="1"/>
        </w:rPr>
        <w:t xml:space="preserve">חודשי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מאסר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שני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הצדדים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ערערו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גזר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הדין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וביהמ</w:t>
      </w:r>
      <w:r w:rsidDel="00000000" w:rsidR="00000000" w:rsidRPr="00000000">
        <w:rPr>
          <w:rFonts w:ascii="David" w:cs="David" w:eastAsia="David" w:hAnsi="David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העליון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קיבל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ערעור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המדינה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והחמיר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בענישה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באופן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שהטיל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המערער</w:t>
      </w:r>
      <w:r w:rsidDel="00000000" w:rsidR="00000000" w:rsidRPr="00000000">
        <w:rPr>
          <w:rFonts w:ascii="David" w:cs="David" w:eastAsia="David" w:hAnsi="David"/>
          <w:rtl w:val="1"/>
        </w:rPr>
        <w:t xml:space="preserve"> 58 </w:t>
      </w:r>
      <w:r w:rsidDel="00000000" w:rsidR="00000000" w:rsidRPr="00000000">
        <w:rPr>
          <w:rFonts w:ascii="David" w:cs="David" w:eastAsia="David" w:hAnsi="David"/>
          <w:rtl w:val="1"/>
        </w:rPr>
        <w:t xml:space="preserve">חודשי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מאסר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בפועל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F3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bidi w:val="1"/>
        <w:spacing w:line="360" w:lineRule="auto"/>
        <w:ind w:left="720" w:firstLine="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rtl w:val="1"/>
        </w:rPr>
        <w:t xml:space="preserve"> 763/17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עטיה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סמהדאן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מדינת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ישראל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 (25.6.2017) -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הורשע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הודאתו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בעבירות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יציאה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כדין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ובשתי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עבירות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מגע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סוכן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חוץ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בכך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שחצה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גבול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מצרים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רצועת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עזה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מנת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להשתתף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בלווית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דודו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בנוסף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גיסו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נפגש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פעילי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חטיבות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נאצר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rtl w:val="1"/>
        </w:rPr>
        <w:t xml:space="preserve">דין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והציע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לבצע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פעולות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שונות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בכוונה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לפגוע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בביטחון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המדינה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כגון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צילום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בסיסים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צבאיים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בשטח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ולסייע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בביצוע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חטיפה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חייל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ישראלי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הסכים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לבסוף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ביצע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פעולות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אלה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ביהמ</w:t>
      </w:r>
      <w:r w:rsidDel="00000000" w:rsidR="00000000" w:rsidRPr="00000000">
        <w:rPr>
          <w:rFonts w:ascii="David" w:cs="David" w:eastAsia="David" w:hAnsi="David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קמא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קבע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מתחם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עונש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הולם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24 – 48 </w:t>
      </w:r>
      <w:r w:rsidDel="00000000" w:rsidR="00000000" w:rsidRPr="00000000">
        <w:rPr>
          <w:rFonts w:ascii="David" w:cs="David" w:eastAsia="David" w:hAnsi="David"/>
          <w:rtl w:val="1"/>
        </w:rPr>
        <w:t xml:space="preserve">חודשי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מאסר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וגזר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עליו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עונש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30 </w:t>
      </w:r>
      <w:r w:rsidDel="00000000" w:rsidR="00000000" w:rsidRPr="00000000">
        <w:rPr>
          <w:rFonts w:ascii="David" w:cs="David" w:eastAsia="David" w:hAnsi="David"/>
          <w:rtl w:val="1"/>
        </w:rPr>
        <w:t xml:space="preserve">חודשי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מאסר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במסגרת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ערעור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חומרת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העונש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הסכימה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המדינה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להפחתת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העונש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rtl w:val="1"/>
        </w:rPr>
        <w:t xml:space="preserve">-24 </w:t>
      </w:r>
      <w:r w:rsidDel="00000000" w:rsidR="00000000" w:rsidRPr="00000000">
        <w:rPr>
          <w:rFonts w:ascii="David" w:cs="David" w:eastAsia="David" w:hAnsi="David"/>
          <w:rtl w:val="1"/>
        </w:rPr>
        <w:t xml:space="preserve">חודשי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מאסר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F5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bidi w:val="1"/>
        <w:spacing w:line="360" w:lineRule="auto"/>
        <w:ind w:left="720" w:firstLine="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rtl w:val="1"/>
        </w:rPr>
        <w:t xml:space="preserve"> 8333/15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מדינת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'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אלדי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 (23.8.2016) -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הורשע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יסוד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הודאתו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בעבירות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מגע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סוכן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חוץ</w:t>
      </w:r>
      <w:r w:rsidDel="00000000" w:rsidR="00000000" w:rsidRPr="00000000">
        <w:rPr>
          <w:rFonts w:ascii="David" w:cs="David" w:eastAsia="David" w:hAnsi="David"/>
          <w:rtl w:val="1"/>
        </w:rPr>
        <w:t xml:space="preserve">; </w:t>
      </w:r>
      <w:r w:rsidDel="00000000" w:rsidR="00000000" w:rsidRPr="00000000">
        <w:rPr>
          <w:rFonts w:ascii="David" w:cs="David" w:eastAsia="David" w:hAnsi="David"/>
          <w:rtl w:val="1"/>
        </w:rPr>
        <w:t xml:space="preserve">יציאה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כדין</w:t>
      </w:r>
      <w:r w:rsidDel="00000000" w:rsidR="00000000" w:rsidRPr="00000000">
        <w:rPr>
          <w:rFonts w:ascii="David" w:cs="David" w:eastAsia="David" w:hAnsi="David"/>
          <w:rtl w:val="1"/>
        </w:rPr>
        <w:t xml:space="preserve">;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אימונים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צבאיים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אסורים</w:t>
      </w:r>
      <w:r w:rsidDel="00000000" w:rsidR="00000000" w:rsidRPr="00000000">
        <w:rPr>
          <w:rFonts w:ascii="David" w:cs="David" w:eastAsia="David" w:hAnsi="David"/>
          <w:rtl w:val="1"/>
        </w:rPr>
        <w:t xml:space="preserve">; </w:t>
      </w:r>
      <w:r w:rsidDel="00000000" w:rsidR="00000000" w:rsidRPr="00000000">
        <w:rPr>
          <w:rFonts w:ascii="David" w:cs="David" w:eastAsia="David" w:hAnsi="David"/>
          <w:rtl w:val="1"/>
        </w:rPr>
        <w:t xml:space="preserve">וחברות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ופעילות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בהתאגדות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בלתי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מותרת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בכך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שנסע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לטורקיה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יצר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קשר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פעיל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ארגון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דאעש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מנת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להצטרף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לשורותיו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לאחר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מכן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החל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בסדרת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אימונים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ובשיעורי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נשק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שונים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הוכשר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כלוחם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דעאש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ואף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נלחם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בשורותיו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שנפצע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ביהמ</w:t>
      </w:r>
      <w:r w:rsidDel="00000000" w:rsidR="00000000" w:rsidRPr="00000000">
        <w:rPr>
          <w:rFonts w:ascii="David" w:cs="David" w:eastAsia="David" w:hAnsi="David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קמא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קבע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מתחם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עונש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הולם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36 – 60 </w:t>
      </w:r>
      <w:r w:rsidDel="00000000" w:rsidR="00000000" w:rsidRPr="00000000">
        <w:rPr>
          <w:rFonts w:ascii="David" w:cs="David" w:eastAsia="David" w:hAnsi="David"/>
          <w:rtl w:val="1"/>
        </w:rPr>
        <w:t xml:space="preserve">חודשי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מאסר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וגזר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עליו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עונש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42 </w:t>
      </w:r>
      <w:r w:rsidDel="00000000" w:rsidR="00000000" w:rsidRPr="00000000">
        <w:rPr>
          <w:rFonts w:ascii="David" w:cs="David" w:eastAsia="David" w:hAnsi="David"/>
          <w:rtl w:val="1"/>
        </w:rPr>
        <w:t xml:space="preserve">חודשי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מאסר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ערעור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קולת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העונש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מטעם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המדינה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חומרת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העונש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מטעם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נדחו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והעונש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נותר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כנו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F7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bidi w:val="1"/>
        <w:spacing w:line="360" w:lineRule="auto"/>
        <w:ind w:left="720" w:firstLine="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תפ</w:t>
      </w:r>
      <w:r w:rsidDel="00000000" w:rsidR="00000000" w:rsidRPr="00000000">
        <w:rPr>
          <w:rFonts w:ascii="David" w:cs="David" w:eastAsia="David" w:hAnsi="David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rtl w:val="1"/>
        </w:rPr>
        <w:t xml:space="preserve"> 52144-03-20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מדינת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מסארוה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 (1.12.2021) –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הנאשמת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הורשעה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במסגרת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הסדר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טיעון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בעבירה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מגע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סוכן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חוץ</w:t>
      </w:r>
      <w:r w:rsidDel="00000000" w:rsidR="00000000" w:rsidRPr="00000000">
        <w:rPr>
          <w:rFonts w:ascii="David" w:cs="David" w:eastAsia="David" w:hAnsi="David"/>
          <w:rtl w:val="1"/>
        </w:rPr>
        <w:t xml:space="preserve">; </w:t>
      </w:r>
      <w:r w:rsidDel="00000000" w:rsidR="00000000" w:rsidRPr="00000000">
        <w:rPr>
          <w:rFonts w:ascii="David" w:cs="David" w:eastAsia="David" w:hAnsi="David"/>
          <w:rtl w:val="1"/>
        </w:rPr>
        <w:t xml:space="preserve">וריבוי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עבירות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מסירת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ידיעה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לאויב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בכך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שנענתה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לפניית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פעיל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חיזבאללה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בלבנון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ובמשך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תקופה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צילמה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והעבירה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תמונות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כלי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רכב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צבאיים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גדר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המערכת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באזור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ראש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הנקרה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נמל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חיפה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ועוד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ביהמ</w:t>
      </w:r>
      <w:r w:rsidDel="00000000" w:rsidR="00000000" w:rsidRPr="00000000">
        <w:rPr>
          <w:rFonts w:ascii="David" w:cs="David" w:eastAsia="David" w:hAnsi="David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קבע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מתחם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עונש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הולם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2.5 – 5 </w:t>
      </w:r>
      <w:r w:rsidDel="00000000" w:rsidR="00000000" w:rsidRPr="00000000">
        <w:rPr>
          <w:rFonts w:ascii="David" w:cs="David" w:eastAsia="David" w:hAnsi="David"/>
          <w:rtl w:val="1"/>
        </w:rPr>
        <w:t xml:space="preserve">שנים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וגזר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עונש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מאסר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30 </w:t>
      </w:r>
      <w:r w:rsidDel="00000000" w:rsidR="00000000" w:rsidRPr="00000000">
        <w:rPr>
          <w:rFonts w:ascii="David" w:cs="David" w:eastAsia="David" w:hAnsi="David"/>
          <w:rtl w:val="1"/>
        </w:rPr>
        <w:t xml:space="preserve">חודשים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F9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bidi w:val="1"/>
        <w:spacing w:line="360" w:lineRule="auto"/>
        <w:ind w:left="720" w:firstLine="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תפ</w:t>
      </w:r>
      <w:r w:rsidDel="00000000" w:rsidR="00000000" w:rsidRPr="00000000">
        <w:rPr>
          <w:rFonts w:ascii="David" w:cs="David" w:eastAsia="David" w:hAnsi="David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rtl w:val="1"/>
        </w:rPr>
        <w:t xml:space="preserve"> 16522-01-18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מדינת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אסד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 (16.4.2019) -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הנאשמות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בנות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דודות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הורשעו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בעבירות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מגע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סוכן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זר</w:t>
      </w:r>
      <w:r w:rsidDel="00000000" w:rsidR="00000000" w:rsidRPr="00000000">
        <w:rPr>
          <w:rFonts w:ascii="David" w:cs="David" w:eastAsia="David" w:hAnsi="David"/>
          <w:rtl w:val="1"/>
        </w:rPr>
        <w:t xml:space="preserve">; </w:t>
      </w:r>
      <w:r w:rsidDel="00000000" w:rsidR="00000000" w:rsidRPr="00000000">
        <w:rPr>
          <w:rFonts w:ascii="David" w:cs="David" w:eastAsia="David" w:hAnsi="David"/>
          <w:rtl w:val="1"/>
        </w:rPr>
        <w:t xml:space="preserve">הכנה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למעשה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טרור</w:t>
      </w:r>
      <w:r w:rsidDel="00000000" w:rsidR="00000000" w:rsidRPr="00000000">
        <w:rPr>
          <w:rFonts w:ascii="David" w:cs="David" w:eastAsia="David" w:hAnsi="David"/>
          <w:rtl w:val="1"/>
        </w:rPr>
        <w:t xml:space="preserve">; </w:t>
      </w:r>
      <w:r w:rsidDel="00000000" w:rsidR="00000000" w:rsidRPr="00000000">
        <w:rPr>
          <w:rFonts w:ascii="David" w:cs="David" w:eastAsia="David" w:hAnsi="David"/>
          <w:rtl w:val="1"/>
        </w:rPr>
        <w:t xml:space="preserve">וקשירת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קשר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לפשע</w:t>
      </w:r>
      <w:r w:rsidDel="00000000" w:rsidR="00000000" w:rsidRPr="00000000">
        <w:rPr>
          <w:rFonts w:ascii="David" w:cs="David" w:eastAsia="David" w:hAnsi="David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rtl w:val="1"/>
        </w:rPr>
        <w:t xml:space="preserve">מעשה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טרור</w:t>
      </w:r>
      <w:r w:rsidDel="00000000" w:rsidR="00000000" w:rsidRPr="00000000">
        <w:rPr>
          <w:rFonts w:ascii="David" w:cs="David" w:eastAsia="David" w:hAnsi="David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rtl w:val="1"/>
        </w:rPr>
        <w:t xml:space="preserve">בכך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שהחזיקו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חשבון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ברשת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טלגרם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ובאמצעותו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חברו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למספר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קבוצות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המזוהות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ארגון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דעאש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בדקו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הכניסות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וסידורי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האבטחה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באוניברסיטת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גוריון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מנת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לבחון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אפשרות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לבצע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פיגוע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בישראל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וכן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ניסו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לגייס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תומכים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נוספים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לארגון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ביהמ</w:t>
      </w:r>
      <w:r w:rsidDel="00000000" w:rsidR="00000000" w:rsidRPr="00000000">
        <w:rPr>
          <w:rFonts w:ascii="David" w:cs="David" w:eastAsia="David" w:hAnsi="David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קבע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מתחם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עונש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הולם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5 – 8 </w:t>
      </w:r>
      <w:r w:rsidDel="00000000" w:rsidR="00000000" w:rsidRPr="00000000">
        <w:rPr>
          <w:rFonts w:ascii="David" w:cs="David" w:eastAsia="David" w:hAnsi="David"/>
          <w:rtl w:val="1"/>
        </w:rPr>
        <w:t xml:space="preserve">שנות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מאסר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לנאשמת</w:t>
      </w:r>
      <w:r w:rsidDel="00000000" w:rsidR="00000000" w:rsidRPr="00000000">
        <w:rPr>
          <w:rFonts w:ascii="David" w:cs="David" w:eastAsia="David" w:hAnsi="David"/>
          <w:rtl w:val="1"/>
        </w:rPr>
        <w:t xml:space="preserve"> 1 </w:t>
      </w:r>
      <w:r w:rsidDel="00000000" w:rsidR="00000000" w:rsidRPr="00000000">
        <w:rPr>
          <w:rFonts w:ascii="David" w:cs="David" w:eastAsia="David" w:hAnsi="David"/>
          <w:rtl w:val="1"/>
        </w:rPr>
        <w:t xml:space="preserve">וגזר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עליה</w:t>
      </w:r>
      <w:r w:rsidDel="00000000" w:rsidR="00000000" w:rsidRPr="00000000">
        <w:rPr>
          <w:rFonts w:ascii="David" w:cs="David" w:eastAsia="David" w:hAnsi="David"/>
          <w:rtl w:val="1"/>
        </w:rPr>
        <w:t xml:space="preserve"> 5 </w:t>
      </w:r>
      <w:r w:rsidDel="00000000" w:rsidR="00000000" w:rsidRPr="00000000">
        <w:rPr>
          <w:rFonts w:ascii="David" w:cs="David" w:eastAsia="David" w:hAnsi="David"/>
          <w:rtl w:val="1"/>
        </w:rPr>
        <w:t xml:space="preserve">שנות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מאסר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ביחס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לנאשמת</w:t>
      </w:r>
      <w:r w:rsidDel="00000000" w:rsidR="00000000" w:rsidRPr="00000000">
        <w:rPr>
          <w:rFonts w:ascii="David" w:cs="David" w:eastAsia="David" w:hAnsi="David"/>
          <w:rtl w:val="1"/>
        </w:rPr>
        <w:t xml:space="preserve"> 2 </w:t>
      </w:r>
      <w:r w:rsidDel="00000000" w:rsidR="00000000" w:rsidRPr="00000000">
        <w:rPr>
          <w:rFonts w:ascii="David" w:cs="David" w:eastAsia="David" w:hAnsi="David"/>
          <w:rtl w:val="1"/>
        </w:rPr>
        <w:t xml:space="preserve">נקבע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מתחם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עונש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הולם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4.5 – 7 </w:t>
      </w:r>
      <w:r w:rsidDel="00000000" w:rsidR="00000000" w:rsidRPr="00000000">
        <w:rPr>
          <w:rFonts w:ascii="David" w:cs="David" w:eastAsia="David" w:hAnsi="David"/>
          <w:rtl w:val="1"/>
        </w:rPr>
        <w:t xml:space="preserve">שנות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ונגזרו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עליה</w:t>
      </w:r>
      <w:r w:rsidDel="00000000" w:rsidR="00000000" w:rsidRPr="00000000">
        <w:rPr>
          <w:rFonts w:ascii="David" w:cs="David" w:eastAsia="David" w:hAnsi="David"/>
          <w:rtl w:val="1"/>
        </w:rPr>
        <w:t xml:space="preserve"> 4.5 </w:t>
      </w:r>
      <w:r w:rsidDel="00000000" w:rsidR="00000000" w:rsidRPr="00000000">
        <w:rPr>
          <w:rFonts w:ascii="David" w:cs="David" w:eastAsia="David" w:hAnsi="David"/>
          <w:rtl w:val="1"/>
        </w:rPr>
        <w:t xml:space="preserve">שנות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מאסר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</w:p>
    <w:p w:rsidR="00000000" w:rsidDel="00000000" w:rsidP="00000000" w:rsidRDefault="00000000" w:rsidRPr="00000000" w14:paraId="000000FB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bidi w:val="1"/>
        <w:spacing w:line="360" w:lineRule="auto"/>
        <w:ind w:left="720" w:firstLine="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תפ</w:t>
      </w:r>
      <w:r w:rsidDel="00000000" w:rsidR="00000000" w:rsidRPr="00000000">
        <w:rPr>
          <w:rFonts w:ascii="David" w:cs="David" w:eastAsia="David" w:hAnsi="David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rtl w:val="1"/>
        </w:rPr>
        <w:t xml:space="preserve"> 23128-08-09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מדינת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סולטאני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 (6.4.2010) –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הורשע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יסוד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הודאתו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בעבירות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מסירת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ידיעה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לאויב</w:t>
      </w:r>
      <w:r w:rsidDel="00000000" w:rsidR="00000000" w:rsidRPr="00000000">
        <w:rPr>
          <w:rFonts w:ascii="David" w:cs="David" w:eastAsia="David" w:hAnsi="David"/>
          <w:rtl w:val="1"/>
        </w:rPr>
        <w:t xml:space="preserve">; </w:t>
      </w:r>
      <w:r w:rsidDel="00000000" w:rsidR="00000000" w:rsidRPr="00000000">
        <w:rPr>
          <w:rFonts w:ascii="David" w:cs="David" w:eastAsia="David" w:hAnsi="David"/>
          <w:rtl w:val="1"/>
        </w:rPr>
        <w:t xml:space="preserve">ומגע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סוכן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חוץ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בכך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שמסר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לפעיל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ארגון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החיזבאללה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מידע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אודות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הרמטכ</w:t>
      </w:r>
      <w:r w:rsidDel="00000000" w:rsidR="00000000" w:rsidRPr="00000000">
        <w:rPr>
          <w:rFonts w:ascii="David" w:cs="David" w:eastAsia="David" w:hAnsi="David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הוטלו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בהסכמה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68 </w:t>
      </w:r>
      <w:r w:rsidDel="00000000" w:rsidR="00000000" w:rsidRPr="00000000">
        <w:rPr>
          <w:rFonts w:ascii="David" w:cs="David" w:eastAsia="David" w:hAnsi="David"/>
          <w:rtl w:val="1"/>
        </w:rPr>
        <w:t xml:space="preserve">חודשי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מאסר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וענישה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נלווית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FD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11.</w:t>
        <w:tab/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יסוד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הנתונים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שפורטו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לעיל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ותוך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מתן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משקל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משמעותי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לעובדה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מעשיו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בוצעו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לוחמי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צה</w:t>
      </w:r>
      <w:r w:rsidDel="00000000" w:rsidR="00000000" w:rsidRPr="00000000">
        <w:rPr>
          <w:rFonts w:ascii="David" w:cs="David" w:eastAsia="David" w:hAnsi="David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וכוחות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הביטחון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מצויים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בעיצומה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מלחמת</w:t>
      </w:r>
      <w:r w:rsidDel="00000000" w:rsidR="00000000" w:rsidRPr="00000000">
        <w:rPr>
          <w:rFonts w:ascii="David" w:cs="David" w:eastAsia="David" w:hAnsi="David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rtl w:val="1"/>
        </w:rPr>
        <w:t xml:space="preserve">חרבות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ברזל</w:t>
      </w:r>
      <w:r w:rsidDel="00000000" w:rsidR="00000000" w:rsidRPr="00000000">
        <w:rPr>
          <w:rFonts w:ascii="David" w:cs="David" w:eastAsia="David" w:hAnsi="David"/>
          <w:rtl w:val="1"/>
        </w:rPr>
        <w:t xml:space="preserve">", </w:t>
      </w:r>
      <w:r w:rsidDel="00000000" w:rsidR="00000000" w:rsidRPr="00000000">
        <w:rPr>
          <w:rFonts w:ascii="David" w:cs="David" w:eastAsia="David" w:hAnsi="David"/>
          <w:rtl w:val="1"/>
        </w:rPr>
        <w:t xml:space="preserve">ראיתי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לקבוע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מתחם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8 </w:t>
      </w:r>
      <w:r w:rsidDel="00000000" w:rsidR="00000000" w:rsidRPr="00000000">
        <w:rPr>
          <w:rFonts w:ascii="David" w:cs="David" w:eastAsia="David" w:hAnsi="David"/>
          <w:rtl w:val="1"/>
        </w:rPr>
        <w:t xml:space="preserve">שנות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מאסר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rtl w:val="1"/>
        </w:rPr>
        <w:t xml:space="preserve">-12 </w:t>
      </w:r>
      <w:r w:rsidDel="00000000" w:rsidR="00000000" w:rsidRPr="00000000">
        <w:rPr>
          <w:rFonts w:ascii="David" w:cs="David" w:eastAsia="David" w:hAnsi="David"/>
          <w:rtl w:val="1"/>
        </w:rPr>
        <w:t xml:space="preserve">שנות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מאסר</w:t>
      </w:r>
      <w:r w:rsidDel="00000000" w:rsidR="00000000" w:rsidRPr="00000000">
        <w:rPr>
          <w:rFonts w:ascii="David" w:cs="David" w:eastAsia="David" w:hAnsi="David"/>
          <w:rtl w:val="1"/>
        </w:rPr>
        <w:t xml:space="preserve">.  </w:t>
      </w:r>
    </w:p>
    <w:p w:rsidR="00000000" w:rsidDel="00000000" w:rsidP="00000000" w:rsidRDefault="00000000" w:rsidRPr="00000000" w14:paraId="000000FF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ab/>
      </w:r>
      <w:r w:rsidDel="00000000" w:rsidR="00000000" w:rsidRPr="00000000">
        <w:rPr>
          <w:rFonts w:ascii="David" w:cs="David" w:eastAsia="David" w:hAnsi="David"/>
          <w:rtl w:val="1"/>
        </w:rPr>
        <w:t xml:space="preserve">חשוב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להדגיש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המתחם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האמור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לעיל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משקף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עליית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מדרגה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משמעותית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ברמת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הענישה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הנהוגה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בעבירות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ביטחון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דומות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ועיון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בפסיקת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בתי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המשפט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כפי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שהתגבשה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לאורך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השנים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ממחיש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מסקנה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פסיקת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המשפט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העליון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עליית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מדרגה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מתבקשת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ברמת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הענישה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צריכה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להיות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מדורגת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להתבצע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בשלבים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ולאורך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זמן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ואינה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יכולה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להתמקד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במקרה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ובנאשם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לצד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זאת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אעיר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מדיניות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הענישה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הנוהגת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רק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המרכיבים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בקביעת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מתחם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העונש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ההולם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כך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שאין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לראותה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כחזות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הכל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</w:p>
    <w:p w:rsidR="00000000" w:rsidDel="00000000" w:rsidP="00000000" w:rsidRDefault="00000000" w:rsidRPr="00000000" w14:paraId="00000101">
      <w:pPr>
        <w:bidi w:val="1"/>
        <w:spacing w:line="360" w:lineRule="auto"/>
        <w:jc w:val="both"/>
        <w:rPr>
          <w:rFonts w:ascii="David" w:cs="David" w:eastAsia="David" w:hAnsi="David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bidi w:val="1"/>
        <w:spacing w:line="360" w:lineRule="auto"/>
        <w:ind w:firstLine="720"/>
        <w:jc w:val="both"/>
        <w:rPr>
          <w:rFonts w:ascii="David" w:cs="David" w:eastAsia="David" w:hAnsi="David"/>
          <w:u w:val="single"/>
        </w:rPr>
      </w:pP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קביעת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העונש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המתאים</w:t>
      </w:r>
    </w:p>
    <w:p w:rsidR="00000000" w:rsidDel="00000000" w:rsidP="00000000" w:rsidRDefault="00000000" w:rsidRPr="00000000" w14:paraId="00000103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12.</w:t>
        <w:tab/>
      </w:r>
      <w:r w:rsidDel="00000000" w:rsidR="00000000" w:rsidRPr="00000000">
        <w:rPr>
          <w:rFonts w:ascii="David" w:cs="David" w:eastAsia="David" w:hAnsi="David"/>
          <w:rtl w:val="1"/>
        </w:rPr>
        <w:t xml:space="preserve">שתי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קבוצות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שיקולים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עומדות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ביסוד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קביעת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העונש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המתאים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</w:p>
    <w:p w:rsidR="00000000" w:rsidDel="00000000" w:rsidP="00000000" w:rsidRDefault="00000000" w:rsidRPr="00000000" w14:paraId="00000105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bidi w:val="1"/>
        <w:spacing w:line="360" w:lineRule="auto"/>
        <w:ind w:left="720" w:firstLine="0"/>
        <w:jc w:val="both"/>
        <w:rPr>
          <w:rFonts w:ascii="David" w:cs="David" w:eastAsia="David" w:hAnsi="David"/>
          <w:b w:val="1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הצד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האחד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קבוצת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השיקולים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לחומרה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הכוללת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שני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נתונים</w:t>
      </w:r>
      <w:r w:rsidDel="00000000" w:rsidR="00000000" w:rsidRPr="00000000">
        <w:rPr>
          <w:rFonts w:ascii="David" w:cs="David" w:eastAsia="David" w:hAnsi="David"/>
          <w:rtl w:val="1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bidi w:val="1"/>
        <w:spacing w:line="360" w:lineRule="auto"/>
        <w:ind w:left="720" w:firstLine="0"/>
        <w:jc w:val="both"/>
        <w:rPr>
          <w:rFonts w:ascii="David" w:cs="David" w:eastAsia="David" w:hAnsi="Davi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bidi w:val="1"/>
        <w:spacing w:line="360" w:lineRule="auto"/>
        <w:ind w:left="720" w:firstLine="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הראשון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rtl w:val="1"/>
        </w:rPr>
        <w:t xml:space="preserve">הצורך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בהעברת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מסר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מרתיע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לכלל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הציבור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בדבר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הענישה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הצפויה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למעשים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כגון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אלה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שביצע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הרתעת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הרבים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כנתון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רלוונטי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המשפיע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העונש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בתוך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המתחם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קבועה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בסעיף</w:t>
      </w:r>
      <w:r w:rsidDel="00000000" w:rsidR="00000000" w:rsidRPr="00000000">
        <w:rPr>
          <w:rFonts w:ascii="David" w:cs="David" w:eastAsia="David" w:hAnsi="David"/>
          <w:rtl w:val="1"/>
        </w:rPr>
        <w:t xml:space="preserve"> 40</w:t>
      </w:r>
      <w:r w:rsidDel="00000000" w:rsidR="00000000" w:rsidRPr="00000000">
        <w:rPr>
          <w:rFonts w:ascii="David" w:cs="David" w:eastAsia="David" w:hAnsi="David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לחוק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העונשין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ודומני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לראותה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כרלוונטית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מאד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למקרה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דנן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</w:p>
    <w:p w:rsidR="00000000" w:rsidDel="00000000" w:rsidP="00000000" w:rsidRDefault="00000000" w:rsidRPr="00000000" w14:paraId="00000109">
      <w:pPr>
        <w:bidi w:val="1"/>
        <w:spacing w:line="360" w:lineRule="auto"/>
        <w:ind w:left="720" w:firstLine="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bidi w:val="1"/>
        <w:spacing w:line="360" w:lineRule="auto"/>
        <w:ind w:left="720" w:firstLine="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מכתב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האישום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המתוקן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עולה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המשטר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האיראני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פועל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בדרכים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שונות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לפגיעה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במדינת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לרבות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בדרך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הצעות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כספיות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לאלה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המוכנים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לשתף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פעולה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ולבצע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משימות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שונות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ויש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לשדר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מסר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תקיף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לכלל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הציבור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בהקשר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להצעות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עתידיות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נוספות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מגורמים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עוינים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</w:p>
    <w:p w:rsidR="00000000" w:rsidDel="00000000" w:rsidP="00000000" w:rsidRDefault="00000000" w:rsidRPr="00000000" w14:paraId="0000010B">
      <w:pPr>
        <w:bidi w:val="1"/>
        <w:spacing w:line="360" w:lineRule="auto"/>
        <w:ind w:left="720" w:firstLine="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bidi w:val="1"/>
        <w:spacing w:line="360" w:lineRule="auto"/>
        <w:ind w:left="720" w:firstLine="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השני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rtl w:val="1"/>
        </w:rPr>
        <w:t xml:space="preserve">עברו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הפלילי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העבר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הפלילי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כולל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מספר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הרשעות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חלקן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בעבירות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מס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חלקן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בעבירות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תכנון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ובנייה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ועבירות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נוספות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כאלה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שאינן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ברף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העליון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ובוצעו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לפני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למעלה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rtl w:val="1"/>
        </w:rPr>
        <w:t xml:space="preserve">-30 </w:t>
      </w:r>
      <w:r w:rsidDel="00000000" w:rsidR="00000000" w:rsidRPr="00000000">
        <w:rPr>
          <w:rFonts w:ascii="David" w:cs="David" w:eastAsia="David" w:hAnsi="David"/>
          <w:rtl w:val="1"/>
        </w:rPr>
        <w:t xml:space="preserve">שנה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משקלו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העבר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הפלילי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במיוחד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לאור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חלוף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הזמן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בעל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השפעה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מעטה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בלבד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מיקומו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במתחם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</w:p>
    <w:p w:rsidR="00000000" w:rsidDel="00000000" w:rsidP="00000000" w:rsidRDefault="00000000" w:rsidRPr="00000000" w14:paraId="0000010D">
      <w:pPr>
        <w:bidi w:val="1"/>
        <w:spacing w:line="360" w:lineRule="auto"/>
        <w:ind w:left="720" w:firstLine="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bidi w:val="1"/>
        <w:spacing w:line="360" w:lineRule="auto"/>
        <w:ind w:left="720" w:firstLine="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הצד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השני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קיימים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מספר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שיקולים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שיש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בהם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כדי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למתן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הענישה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בגדרו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המתחם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</w:p>
    <w:p w:rsidR="00000000" w:rsidDel="00000000" w:rsidP="00000000" w:rsidRDefault="00000000" w:rsidRPr="00000000" w14:paraId="0000010F">
      <w:pPr>
        <w:bidi w:val="1"/>
        <w:spacing w:line="360" w:lineRule="auto"/>
        <w:ind w:left="720" w:firstLine="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bidi w:val="1"/>
        <w:spacing w:line="360" w:lineRule="auto"/>
        <w:ind w:left="720" w:firstLine="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ראשית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קיבל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אחריות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מעשיו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ומדבריו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עולה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מכה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חטא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ספק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הודאת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וקבלת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אחריות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נתון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המצדיק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הקלה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בעונש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וכך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לנהוג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אף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בעניינו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</w:p>
    <w:p w:rsidR="00000000" w:rsidDel="00000000" w:rsidP="00000000" w:rsidRDefault="00000000" w:rsidRPr="00000000" w14:paraId="00000111">
      <w:pPr>
        <w:bidi w:val="1"/>
        <w:spacing w:line="360" w:lineRule="auto"/>
        <w:ind w:left="720" w:firstLine="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bidi w:val="1"/>
        <w:spacing w:line="360" w:lineRule="auto"/>
        <w:ind w:left="720" w:firstLine="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שנית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לאורך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שנות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חייו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צבר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זכויות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רבות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כעולה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ממגוון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העדויות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שנשמעו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בשלב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הראיות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לעונש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כך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לדוגמה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עדותו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מאיר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דור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תיאר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הלחימה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לצד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במסגרת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מלחמת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לבנון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הראשונה</w:t>
      </w:r>
      <w:r w:rsidDel="00000000" w:rsidR="00000000" w:rsidRPr="00000000">
        <w:rPr>
          <w:rFonts w:ascii="David" w:cs="David" w:eastAsia="David" w:hAnsi="David"/>
          <w:rtl w:val="1"/>
        </w:rPr>
        <w:t xml:space="preserve">; </w:t>
      </w:r>
      <w:r w:rsidDel="00000000" w:rsidR="00000000" w:rsidRPr="00000000">
        <w:rPr>
          <w:rFonts w:ascii="David" w:cs="David" w:eastAsia="David" w:hAnsi="David"/>
          <w:rtl w:val="1"/>
        </w:rPr>
        <w:t xml:space="preserve">כך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לדוגמה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עדותו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נוריאל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עילי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קצין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מסיירת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גולני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תיאר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התנדבותו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באספקת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מזון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לבסיסים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רבים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בחזית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המדינה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החל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מיום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rtl w:val="1"/>
        </w:rPr>
        <w:t xml:space="preserve">-7 </w:t>
      </w:r>
      <w:r w:rsidDel="00000000" w:rsidR="00000000" w:rsidRPr="00000000">
        <w:rPr>
          <w:rFonts w:ascii="David" w:cs="David" w:eastAsia="David" w:hAnsi="David"/>
          <w:rtl w:val="1"/>
        </w:rPr>
        <w:t xml:space="preserve">באוקטובר</w:t>
      </w:r>
      <w:r w:rsidDel="00000000" w:rsidR="00000000" w:rsidRPr="00000000">
        <w:rPr>
          <w:rFonts w:ascii="David" w:cs="David" w:eastAsia="David" w:hAnsi="David"/>
          <w:rtl w:val="1"/>
        </w:rPr>
        <w:t xml:space="preserve">; </w:t>
      </w:r>
      <w:r w:rsidDel="00000000" w:rsidR="00000000" w:rsidRPr="00000000">
        <w:rPr>
          <w:rFonts w:ascii="David" w:cs="David" w:eastAsia="David" w:hAnsi="David"/>
          <w:rtl w:val="1"/>
        </w:rPr>
        <w:t xml:space="preserve">כך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לדוגמה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עדותו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חיים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אלוש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תיאר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כיצד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סייע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להתמודד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סיטואציות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מורכבות</w:t>
      </w:r>
      <w:r w:rsidDel="00000000" w:rsidR="00000000" w:rsidRPr="00000000">
        <w:rPr>
          <w:rFonts w:ascii="David" w:cs="David" w:eastAsia="David" w:hAnsi="David"/>
          <w:rtl w:val="1"/>
        </w:rPr>
        <w:t xml:space="preserve">; </w:t>
      </w:r>
      <w:r w:rsidDel="00000000" w:rsidR="00000000" w:rsidRPr="00000000">
        <w:rPr>
          <w:rFonts w:ascii="David" w:cs="David" w:eastAsia="David" w:hAnsi="David"/>
          <w:rtl w:val="1"/>
        </w:rPr>
        <w:t xml:space="preserve">כך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לדוגמה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דבריו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יורם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דוד</w:t>
      </w:r>
      <w:r w:rsidDel="00000000" w:rsidR="00000000" w:rsidRPr="00000000">
        <w:rPr>
          <w:rFonts w:ascii="David" w:cs="David" w:eastAsia="David" w:hAnsi="David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rtl w:val="1"/>
        </w:rPr>
        <w:t xml:space="preserve">בנדה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תיאר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כאדם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פטריוטי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השקיע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מרבית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חייו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בגידול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ילדיו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לתפארת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שירתו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בצבא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ועדיין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משרתים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במילואים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במקומות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רגישים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מעל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אלה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ניצבים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מולי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דבריהם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מכמירי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הלב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ילדיו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אזרחים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נורמטיביים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ותורמים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מעשיו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אביהם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נפלו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עליהם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כרעם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ביום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בהיר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</w:p>
    <w:p w:rsidR="00000000" w:rsidDel="00000000" w:rsidP="00000000" w:rsidRDefault="00000000" w:rsidRPr="00000000" w14:paraId="00000113">
      <w:pPr>
        <w:bidi w:val="1"/>
        <w:spacing w:line="360" w:lineRule="auto"/>
        <w:ind w:left="720" w:firstLine="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bidi w:val="1"/>
        <w:spacing w:line="360" w:lineRule="auto"/>
        <w:ind w:left="720" w:firstLine="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ניתן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לומר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שמיעת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עדויות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אלה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וחשיפת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המשפט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להתנהלות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לאורך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השנים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הגבירה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התמיהה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כיצד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אזרח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ישראלי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ציוני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מבצע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עבירות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כמו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אלה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שביצע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</w:p>
    <w:p w:rsidR="00000000" w:rsidDel="00000000" w:rsidP="00000000" w:rsidRDefault="00000000" w:rsidRPr="00000000" w14:paraId="00000115">
      <w:pPr>
        <w:bidi w:val="1"/>
        <w:spacing w:line="360" w:lineRule="auto"/>
        <w:ind w:left="720" w:firstLine="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bidi w:val="1"/>
        <w:spacing w:line="360" w:lineRule="auto"/>
        <w:ind w:left="720" w:firstLine="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כך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כך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באותן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עדויות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שנשמעו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כדי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ללמד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זכות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ולהשפיע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מיקומו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במתחם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העונש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ההולם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</w:p>
    <w:p w:rsidR="00000000" w:rsidDel="00000000" w:rsidP="00000000" w:rsidRDefault="00000000" w:rsidRPr="00000000" w14:paraId="00000117">
      <w:pPr>
        <w:bidi w:val="1"/>
        <w:spacing w:line="360" w:lineRule="auto"/>
        <w:ind w:left="720" w:firstLine="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bidi w:val="1"/>
        <w:spacing w:line="360" w:lineRule="auto"/>
        <w:ind w:left="720" w:firstLine="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שלישית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מקום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ליתן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משקל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במסגרת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כלל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הנתונים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לגילו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ולמצבו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הרפואי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המורכב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כעולה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מטיעון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כוחו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ומהמסמכים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הרפואיים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שהוגשו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</w:p>
    <w:p w:rsidR="00000000" w:rsidDel="00000000" w:rsidP="00000000" w:rsidRDefault="00000000" w:rsidRPr="00000000" w14:paraId="00000119">
      <w:pPr>
        <w:bidi w:val="1"/>
        <w:spacing w:line="360" w:lineRule="auto"/>
        <w:ind w:left="720" w:firstLine="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bidi w:val="1"/>
        <w:spacing w:line="360" w:lineRule="auto"/>
        <w:ind w:left="720" w:firstLine="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רביעית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נתתי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דעתי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לתנאי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מאסרו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הצפויים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ספק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ריצוי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תקופת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מאסר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בעבירות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ביטחוניות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אינה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תקופה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קלה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בוודאי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בגיל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מתקדם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וראיתי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ליתן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משקל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מסוים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קל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לנתון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</w:p>
    <w:p w:rsidR="00000000" w:rsidDel="00000000" w:rsidP="00000000" w:rsidRDefault="00000000" w:rsidRPr="00000000" w14:paraId="0000011B">
      <w:pPr>
        <w:bidi w:val="1"/>
        <w:spacing w:line="360" w:lineRule="auto"/>
        <w:ind w:left="720" w:firstLine="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13.</w:t>
        <w:tab/>
      </w:r>
      <w:r w:rsidDel="00000000" w:rsidR="00000000" w:rsidRPr="00000000">
        <w:rPr>
          <w:rFonts w:ascii="David" w:cs="David" w:eastAsia="David" w:hAnsi="David"/>
          <w:rtl w:val="1"/>
        </w:rPr>
        <w:t xml:space="preserve">סיכום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כלל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הנתונים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שפורטו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מוביל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למסקנה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מקום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להטיל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עונש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שאינו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משקף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הרף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התחתון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rtl w:val="1"/>
        </w:rPr>
        <w:t xml:space="preserve">בעיקר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נוכח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המשקל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הניתן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ליסוד</w:t>
      </w:r>
      <w:r w:rsidDel="00000000" w:rsidR="00000000" w:rsidRPr="00000000">
        <w:rPr>
          <w:rFonts w:ascii="David" w:cs="David" w:eastAsia="David" w:hAnsi="David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rtl w:val="1"/>
        </w:rPr>
        <w:t xml:space="preserve">הרתעת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הרבים</w:t>
      </w:r>
      <w:r w:rsidDel="00000000" w:rsidR="00000000" w:rsidRPr="00000000">
        <w:rPr>
          <w:rFonts w:ascii="David" w:cs="David" w:eastAsia="David" w:hAnsi="David"/>
          <w:rtl w:val="1"/>
        </w:rPr>
        <w:t xml:space="preserve">") </w:t>
      </w:r>
      <w:r w:rsidDel="00000000" w:rsidR="00000000" w:rsidRPr="00000000">
        <w:rPr>
          <w:rFonts w:ascii="David" w:cs="David" w:eastAsia="David" w:hAnsi="David"/>
          <w:rtl w:val="1"/>
        </w:rPr>
        <w:t xml:space="preserve">אך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כזה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שאינו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משקף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הרף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העליון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נוכח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כלל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הנתונים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העומדים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לזכותו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ופורטו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לעיל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</w:p>
    <w:p w:rsidR="00000000" w:rsidDel="00000000" w:rsidP="00000000" w:rsidRDefault="00000000" w:rsidRPr="00000000" w14:paraId="0000011D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bidi w:val="1"/>
        <w:spacing w:line="360" w:lineRule="auto"/>
        <w:ind w:firstLine="72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לאור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האמור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לעיל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ראיתי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להטיל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העונשים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הבאים</w:t>
      </w:r>
      <w:r w:rsidDel="00000000" w:rsidR="00000000" w:rsidRPr="00000000">
        <w:rPr>
          <w:rFonts w:ascii="David" w:cs="David" w:eastAsia="David" w:hAnsi="David"/>
          <w:rtl w:val="1"/>
        </w:rPr>
        <w:t xml:space="preserve">: </w:t>
      </w:r>
    </w:p>
    <w:p w:rsidR="00000000" w:rsidDel="00000000" w:rsidP="00000000" w:rsidRDefault="00000000" w:rsidRPr="00000000" w14:paraId="0000011F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  <w:tab/>
        <w:t xml:space="preserve">10 </w:t>
      </w:r>
      <w:r w:rsidDel="00000000" w:rsidR="00000000" w:rsidRPr="00000000">
        <w:rPr>
          <w:rFonts w:ascii="David" w:cs="David" w:eastAsia="David" w:hAnsi="David"/>
          <w:rtl w:val="1"/>
        </w:rPr>
        <w:t xml:space="preserve">שנות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מאסר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לריצוי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בפועל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בניכוי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ימי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מעצרו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בהתאם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לרישומי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שב</w:t>
      </w:r>
      <w:r w:rsidDel="00000000" w:rsidR="00000000" w:rsidRPr="00000000">
        <w:rPr>
          <w:rFonts w:ascii="David" w:cs="David" w:eastAsia="David" w:hAnsi="David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</w:p>
    <w:p w:rsidR="00000000" w:rsidDel="00000000" w:rsidP="00000000" w:rsidRDefault="00000000" w:rsidRPr="00000000" w14:paraId="00000121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  <w:tab/>
        <w:t xml:space="preserve">12 </w:t>
      </w:r>
      <w:r w:rsidDel="00000000" w:rsidR="00000000" w:rsidRPr="00000000">
        <w:rPr>
          <w:rFonts w:ascii="David" w:cs="David" w:eastAsia="David" w:hAnsi="David"/>
          <w:rtl w:val="1"/>
        </w:rPr>
        <w:t xml:space="preserve">חודשי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מאסר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אולם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יישא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עונש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יעבור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תוך</w:t>
      </w:r>
      <w:r w:rsidDel="00000000" w:rsidR="00000000" w:rsidRPr="00000000">
        <w:rPr>
          <w:rFonts w:ascii="David" w:cs="David" w:eastAsia="David" w:hAnsi="David"/>
          <w:rtl w:val="1"/>
        </w:rPr>
        <w:t xml:space="preserve"> 3 </w:t>
      </w:r>
      <w:r w:rsidDel="00000000" w:rsidR="00000000" w:rsidRPr="00000000">
        <w:rPr>
          <w:rFonts w:ascii="David" w:cs="David" w:eastAsia="David" w:hAnsi="David"/>
          <w:rtl w:val="1"/>
        </w:rPr>
        <w:t xml:space="preserve">שנים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מיום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שחרורו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אחת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העבירות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בהן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הורשע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</w:p>
    <w:p w:rsidR="00000000" w:rsidDel="00000000" w:rsidP="00000000" w:rsidRDefault="00000000" w:rsidRPr="00000000" w14:paraId="00000123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  <w:tab/>
      </w:r>
      <w:r w:rsidDel="00000000" w:rsidR="00000000" w:rsidRPr="00000000">
        <w:rPr>
          <w:rFonts w:ascii="David" w:cs="David" w:eastAsia="David" w:hAnsi="David"/>
          <w:rtl w:val="1"/>
        </w:rPr>
        <w:t xml:space="preserve">חילוט</w:t>
      </w:r>
      <w:r w:rsidDel="00000000" w:rsidR="00000000" w:rsidRPr="00000000">
        <w:rPr>
          <w:rFonts w:ascii="David" w:cs="David" w:eastAsia="David" w:hAnsi="David"/>
          <w:rtl w:val="1"/>
        </w:rPr>
        <w:t xml:space="preserve"> 5,000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אירו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כמפורט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בנספח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החילוט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</w:p>
    <w:p w:rsidR="00000000" w:rsidDel="00000000" w:rsidP="00000000" w:rsidRDefault="00000000" w:rsidRPr="00000000" w14:paraId="00000125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ניתן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צו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למוצגים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לשיקול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דעת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קצין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משטרה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rtl w:val="1"/>
        </w:rPr>
        <w:t xml:space="preserve">/</w:t>
      </w:r>
      <w:r w:rsidDel="00000000" w:rsidR="00000000" w:rsidRPr="00000000">
        <w:rPr>
          <w:rFonts w:ascii="David" w:cs="David" w:eastAsia="David" w:hAnsi="David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התביעה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</w:p>
    <w:p w:rsidR="00000000" w:rsidDel="00000000" w:rsidP="00000000" w:rsidRDefault="00000000" w:rsidRPr="00000000" w14:paraId="00000127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bidi w:val="1"/>
        <w:spacing w:line="360" w:lineRule="auto"/>
        <w:ind w:left="720" w:hanging="72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זכות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ערעור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כחוק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</w:p>
    <w:p w:rsidR="00000000" w:rsidDel="00000000" w:rsidP="00000000" w:rsidRDefault="00000000" w:rsidRPr="00000000" w14:paraId="00000129">
      <w:pPr>
        <w:bidi w:val="1"/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bidi w:val="1"/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ניתן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היום</w:t>
      </w:r>
      <w:r w:rsidDel="00000000" w:rsidR="00000000" w:rsidRPr="00000000">
        <w:rPr>
          <w:rFonts w:ascii="Arial" w:cs="Arial" w:eastAsia="Arial" w:hAnsi="Arial"/>
          <w:rtl w:val="1"/>
        </w:rPr>
        <w:t xml:space="preserve">,  </w:t>
      </w:r>
      <w:r w:rsidDel="00000000" w:rsidR="00000000" w:rsidRPr="00000000">
        <w:rPr>
          <w:rFonts w:ascii="Arial" w:cs="Arial" w:eastAsia="Arial" w:hAnsi="Arial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rtl w:val="1"/>
        </w:rPr>
        <w:t xml:space="preserve">'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תשפ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, 29 </w:t>
      </w:r>
      <w:r w:rsidDel="00000000" w:rsidR="00000000" w:rsidRPr="00000000">
        <w:rPr>
          <w:rFonts w:ascii="Arial" w:cs="Arial" w:eastAsia="Arial" w:hAnsi="Arial"/>
          <w:rtl w:val="1"/>
        </w:rPr>
        <w:t xml:space="preserve">אפריל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2025,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במעמד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הצדדים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tbl>
      <w:tblPr>
        <w:tblStyle w:val="Table3"/>
        <w:tblpPr w:leftFromText="180" w:rightFromText="180" w:topFromText="0" w:bottomFromText="0" w:vertAnchor="text" w:horzAnchor="text" w:tblpX="2266" w:tblpY="86"/>
        <w:bidiVisual w:val="1"/>
        <w:tblW w:w="393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36"/>
        <w:tblGridChange w:id="0">
          <w:tblGrid>
            <w:gridCol w:w="3936"/>
          </w:tblGrid>
        </w:tblGridChange>
      </w:tblGrid>
      <w:tr>
        <w:trPr>
          <w:cantSplit w:val="0"/>
          <w:trHeight w:val="31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2C">
            <w:pPr>
              <w:bidi w:val="1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724025" cy="581025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5810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D">
            <w:pPr>
              <w:bidi w:val="1"/>
              <w:jc w:val="center"/>
              <w:rPr>
                <w:rFonts w:ascii="David" w:cs="David" w:eastAsia="David" w:hAnsi="David"/>
                <w:b w:val="1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בני</w:t>
            </w: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שגיא</w:t>
            </w: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שופט</w:t>
            </w:r>
          </w:p>
          <w:p w:rsidR="00000000" w:rsidDel="00000000" w:rsidP="00000000" w:rsidRDefault="00000000" w:rsidRPr="00000000" w14:paraId="0000012E">
            <w:pPr>
              <w:bidi w:val="1"/>
              <w:jc w:val="center"/>
              <w:rPr>
                <w:rFonts w:ascii="David" w:cs="David" w:eastAsia="David" w:hAnsi="David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נשיא</w:t>
            </w: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2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bidi w:val="1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   </w:t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bidi w:val="1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bidi w:val="1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bidi w:val="1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bidi w:val="1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bidi w:val="1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bidi w:val="1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bidi w:val="1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40" w:w="11907" w:orient="portrait"/>
      <w:pgMar w:bottom="1440" w:top="1440" w:left="1080" w:right="1080" w:header="18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David"/>
  <w:font w:name="Times New Roman"/>
  <w:font w:name="Tahom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עמוד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מתוך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drawing>
        <wp:inline distB="0" distT="0" distL="0" distR="0">
          <wp:extent cx="371475" cy="466725"/>
          <wp:effectExtent b="0" l="0" r="0" t="0"/>
          <wp:docPr descr="ישראל - המנורה - 2" id="2" name="image2.png"/>
          <a:graphic>
            <a:graphicData uri="http://schemas.openxmlformats.org/drawingml/2006/picture">
              <pic:pic>
                <pic:nvPicPr>
                  <pic:cNvPr descr="ישראל - המנורה - 2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1475" cy="4667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tbl>
    <w:tblPr>
      <w:tblStyle w:val="Table4"/>
      <w:bidiVisual w:val="1"/>
      <w:tblW w:w="9569.0" w:type="dxa"/>
      <w:jc w:val="center"/>
      <w:tblLayout w:type="fixed"/>
      <w:tblLook w:val="0000"/>
    </w:tblPr>
    <w:tblGrid>
      <w:gridCol w:w="5131"/>
      <w:gridCol w:w="4438"/>
      <w:tblGridChange w:id="0">
        <w:tblGrid>
          <w:gridCol w:w="5131"/>
          <w:gridCol w:w="4438"/>
        </w:tblGrid>
      </w:tblGridChange>
    </w:tblGrid>
    <w:tr>
      <w:trPr>
        <w:cantSplit w:val="0"/>
        <w:trHeight w:val="418" w:hRule="atLeast"/>
        <w:tblHeader w:val="0"/>
      </w:trPr>
      <w:tc>
        <w:tcPr>
          <w:gridSpan w:val="2"/>
        </w:tcPr>
        <w:p w:rsidR="00000000" w:rsidDel="00000000" w:rsidP="00000000" w:rsidRDefault="00000000" w:rsidRPr="00000000" w14:paraId="0000013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</w:tabs>
            <w:bidi w:val="1"/>
            <w:spacing w:after="0" w:before="0" w:line="240" w:lineRule="auto"/>
            <w:ind w:left="0" w:right="0" w:firstLine="0"/>
            <w:jc w:val="center"/>
            <w:rPr>
              <w:rFonts w:ascii="Tahoma" w:cs="Tahoma" w:eastAsia="Tahoma" w:hAnsi="Tahoma"/>
              <w:b w:val="0"/>
              <w:i w:val="0"/>
              <w:smallCaps w:val="0"/>
              <w:strike w:val="0"/>
              <w:color w:val="000080"/>
              <w:sz w:val="32"/>
              <w:szCs w:val="3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ahoma" w:cs="Tahoma" w:eastAsia="Tahoma" w:hAnsi="Tahoma"/>
              <w:b w:val="1"/>
              <w:i w:val="0"/>
              <w:smallCaps w:val="0"/>
              <w:strike w:val="0"/>
              <w:color w:val="000080"/>
              <w:sz w:val="32"/>
              <w:szCs w:val="32"/>
              <w:u w:val="none"/>
              <w:shd w:fill="auto" w:val="clear"/>
              <w:vertAlign w:val="baseline"/>
              <w:rtl w:val="1"/>
            </w:rPr>
            <w:t xml:space="preserve">בית</w:t>
          </w:r>
          <w:r w:rsidDel="00000000" w:rsidR="00000000" w:rsidRPr="00000000">
            <w:rPr>
              <w:rFonts w:ascii="Tahoma" w:cs="Tahoma" w:eastAsia="Tahoma" w:hAnsi="Tahoma"/>
              <w:b w:val="1"/>
              <w:i w:val="0"/>
              <w:smallCaps w:val="0"/>
              <w:strike w:val="0"/>
              <w:color w:val="000080"/>
              <w:sz w:val="32"/>
              <w:szCs w:val="32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Tahoma" w:cs="Tahoma" w:eastAsia="Tahoma" w:hAnsi="Tahoma"/>
              <w:b w:val="1"/>
              <w:i w:val="0"/>
              <w:smallCaps w:val="0"/>
              <w:strike w:val="0"/>
              <w:color w:val="000080"/>
              <w:sz w:val="32"/>
              <w:szCs w:val="32"/>
              <w:u w:val="none"/>
              <w:shd w:fill="auto" w:val="clear"/>
              <w:vertAlign w:val="baseline"/>
              <w:rtl w:val="1"/>
            </w:rPr>
            <w:t xml:space="preserve">המשפט</w:t>
          </w:r>
          <w:r w:rsidDel="00000000" w:rsidR="00000000" w:rsidRPr="00000000">
            <w:rPr>
              <w:rFonts w:ascii="Tahoma" w:cs="Tahoma" w:eastAsia="Tahoma" w:hAnsi="Tahoma"/>
              <w:b w:val="1"/>
              <w:i w:val="0"/>
              <w:smallCaps w:val="0"/>
              <w:strike w:val="0"/>
              <w:color w:val="000080"/>
              <w:sz w:val="32"/>
              <w:szCs w:val="32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Tahoma" w:cs="Tahoma" w:eastAsia="Tahoma" w:hAnsi="Tahoma"/>
              <w:b w:val="1"/>
              <w:i w:val="0"/>
              <w:smallCaps w:val="0"/>
              <w:strike w:val="0"/>
              <w:color w:val="000080"/>
              <w:sz w:val="32"/>
              <w:szCs w:val="32"/>
              <w:u w:val="none"/>
              <w:shd w:fill="auto" w:val="clear"/>
              <w:vertAlign w:val="baseline"/>
              <w:rtl w:val="1"/>
            </w:rPr>
            <w:t xml:space="preserve">המחוזי</w:t>
          </w:r>
          <w:r w:rsidDel="00000000" w:rsidR="00000000" w:rsidRPr="00000000">
            <w:rPr>
              <w:rFonts w:ascii="Tahoma" w:cs="Tahoma" w:eastAsia="Tahoma" w:hAnsi="Tahoma"/>
              <w:b w:val="1"/>
              <w:i w:val="0"/>
              <w:smallCaps w:val="0"/>
              <w:strike w:val="0"/>
              <w:color w:val="000080"/>
              <w:sz w:val="32"/>
              <w:szCs w:val="32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Tahoma" w:cs="Tahoma" w:eastAsia="Tahoma" w:hAnsi="Tahoma"/>
              <w:b w:val="1"/>
              <w:i w:val="0"/>
              <w:smallCaps w:val="0"/>
              <w:strike w:val="0"/>
              <w:color w:val="000080"/>
              <w:sz w:val="32"/>
              <w:szCs w:val="32"/>
              <w:u w:val="none"/>
              <w:shd w:fill="auto" w:val="clear"/>
              <w:vertAlign w:val="baseline"/>
              <w:rtl w:val="1"/>
            </w:rPr>
            <w:t xml:space="preserve">בבאר</w:t>
          </w:r>
          <w:r w:rsidDel="00000000" w:rsidR="00000000" w:rsidRPr="00000000">
            <w:rPr>
              <w:rFonts w:ascii="Tahoma" w:cs="Tahoma" w:eastAsia="Tahoma" w:hAnsi="Tahoma"/>
              <w:b w:val="1"/>
              <w:i w:val="0"/>
              <w:smallCaps w:val="0"/>
              <w:strike w:val="0"/>
              <w:color w:val="000080"/>
              <w:sz w:val="32"/>
              <w:szCs w:val="32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Tahoma" w:cs="Tahoma" w:eastAsia="Tahoma" w:hAnsi="Tahoma"/>
              <w:b w:val="1"/>
              <w:i w:val="0"/>
              <w:smallCaps w:val="0"/>
              <w:strike w:val="0"/>
              <w:color w:val="000080"/>
              <w:sz w:val="32"/>
              <w:szCs w:val="32"/>
              <w:u w:val="none"/>
              <w:shd w:fill="auto" w:val="clear"/>
              <w:vertAlign w:val="baseline"/>
              <w:rtl w:val="1"/>
            </w:rPr>
            <w:t xml:space="preserve">שבע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337" w:hRule="atLeast"/>
        <w:tblHeader w:val="0"/>
      </w:trPr>
      <w:tc>
        <w:tcPr/>
        <w:p w:rsidR="00000000" w:rsidDel="00000000" w:rsidP="00000000" w:rsidRDefault="00000000" w:rsidRPr="00000000" w14:paraId="0000013C">
          <w:pPr>
            <w:bidi w:val="1"/>
            <w:rPr>
              <w:b w:val="1"/>
              <w:sz w:val="26"/>
              <w:szCs w:val="26"/>
            </w:rPr>
          </w:pPr>
          <w:r w:rsidDel="00000000" w:rsidR="00000000" w:rsidRPr="00000000">
            <w:rPr>
              <w:b w:val="1"/>
              <w:sz w:val="26"/>
              <w:szCs w:val="26"/>
              <w:rtl w:val="1"/>
            </w:rPr>
            <w:t xml:space="preserve">ת</w:t>
          </w:r>
          <w:r w:rsidDel="00000000" w:rsidR="00000000" w:rsidRPr="00000000">
            <w:rPr>
              <w:b w:val="1"/>
              <w:sz w:val="26"/>
              <w:szCs w:val="26"/>
              <w:rtl w:val="1"/>
            </w:rPr>
            <w:t xml:space="preserve">"</w:t>
          </w:r>
          <w:r w:rsidDel="00000000" w:rsidR="00000000" w:rsidRPr="00000000">
            <w:rPr>
              <w:b w:val="1"/>
              <w:sz w:val="26"/>
              <w:szCs w:val="26"/>
              <w:rtl w:val="1"/>
            </w:rPr>
            <w:t xml:space="preserve">פ</w:t>
          </w:r>
          <w:r w:rsidDel="00000000" w:rsidR="00000000" w:rsidRPr="00000000">
            <w:rPr>
              <w:b w:val="1"/>
              <w:sz w:val="26"/>
              <w:szCs w:val="26"/>
              <w:rtl w:val="1"/>
            </w:rPr>
            <w:t xml:space="preserve"> 51692-09-24 </w:t>
          </w:r>
          <w:r w:rsidDel="00000000" w:rsidR="00000000" w:rsidRPr="00000000">
            <w:rPr>
              <w:b w:val="1"/>
              <w:sz w:val="26"/>
              <w:szCs w:val="26"/>
              <w:rtl w:val="1"/>
            </w:rPr>
            <w:t xml:space="preserve">מדינת</w:t>
          </w:r>
          <w:r w:rsidDel="00000000" w:rsidR="00000000" w:rsidRPr="00000000">
            <w:rPr>
              <w:b w:val="1"/>
              <w:sz w:val="26"/>
              <w:szCs w:val="26"/>
              <w:rtl w:val="1"/>
            </w:rPr>
            <w:t xml:space="preserve"> </w:t>
          </w:r>
          <w:r w:rsidDel="00000000" w:rsidR="00000000" w:rsidRPr="00000000">
            <w:rPr>
              <w:b w:val="1"/>
              <w:sz w:val="26"/>
              <w:szCs w:val="26"/>
              <w:rtl w:val="1"/>
            </w:rPr>
            <w:t xml:space="preserve">ישראל</w:t>
          </w:r>
          <w:r w:rsidDel="00000000" w:rsidR="00000000" w:rsidRPr="00000000">
            <w:rPr>
              <w:b w:val="1"/>
              <w:sz w:val="26"/>
              <w:szCs w:val="26"/>
              <w:rtl w:val="1"/>
            </w:rPr>
            <w:t xml:space="preserve"> </w:t>
          </w:r>
          <w:r w:rsidDel="00000000" w:rsidR="00000000" w:rsidRPr="00000000">
            <w:rPr>
              <w:b w:val="1"/>
              <w:sz w:val="26"/>
              <w:szCs w:val="26"/>
              <w:rtl w:val="1"/>
            </w:rPr>
            <w:t xml:space="preserve">נ</w:t>
          </w:r>
          <w:r w:rsidDel="00000000" w:rsidR="00000000" w:rsidRPr="00000000">
            <w:rPr>
              <w:b w:val="1"/>
              <w:sz w:val="26"/>
              <w:szCs w:val="26"/>
              <w:rtl w:val="1"/>
            </w:rPr>
            <w:t xml:space="preserve">' </w:t>
          </w:r>
          <w:r w:rsidDel="00000000" w:rsidR="00000000" w:rsidRPr="00000000">
            <w:rPr>
              <w:b w:val="1"/>
              <w:sz w:val="26"/>
              <w:szCs w:val="26"/>
              <w:rtl w:val="1"/>
            </w:rPr>
            <w:t xml:space="preserve">ממן</w:t>
          </w:r>
          <w:r w:rsidDel="00000000" w:rsidR="00000000" w:rsidRPr="00000000">
            <w:rPr>
              <w:b w:val="1"/>
              <w:sz w:val="26"/>
              <w:szCs w:val="26"/>
              <w:rtl w:val="1"/>
            </w:rPr>
            <w:t xml:space="preserve">(</w:t>
          </w:r>
          <w:r w:rsidDel="00000000" w:rsidR="00000000" w:rsidRPr="00000000">
            <w:rPr>
              <w:b w:val="1"/>
              <w:sz w:val="26"/>
              <w:szCs w:val="26"/>
              <w:rtl w:val="1"/>
            </w:rPr>
            <w:t xml:space="preserve">עציר</w:t>
          </w:r>
          <w:r w:rsidDel="00000000" w:rsidR="00000000" w:rsidRPr="00000000">
            <w:rPr>
              <w:b w:val="1"/>
              <w:sz w:val="26"/>
              <w:szCs w:val="26"/>
              <w:rtl w:val="1"/>
            </w:rPr>
            <w:t xml:space="preserve">)</w:t>
          </w:r>
        </w:p>
        <w:p w:rsidR="00000000" w:rsidDel="00000000" w:rsidP="00000000" w:rsidRDefault="00000000" w:rsidRPr="00000000" w14:paraId="0000013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</w:tabs>
            <w:bidi w:val="1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3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  <w:tab w:val="left" w:leader="none" w:pos="2385"/>
            </w:tabs>
            <w:bidi w:val="1"/>
            <w:spacing w:after="0" w:before="0" w:line="240" w:lineRule="auto"/>
            <w:ind w:left="0" w:right="0" w:firstLine="0"/>
            <w:jc w:val="right"/>
            <w:rPr>
              <w:rFonts w:ascii="David" w:cs="David" w:eastAsia="David" w:hAnsi="David"/>
              <w:b w:val="1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ab/>
            <w:t xml:space="preserve">   </w:t>
          </w:r>
          <w:r w:rsidDel="00000000" w:rsidR="00000000" w:rsidRPr="00000000">
            <w:rPr>
              <w:rFonts w:ascii="David" w:cs="David" w:eastAsia="David" w:hAnsi="David"/>
              <w:b w:val="1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29.4.2025</w:t>
          </w:r>
        </w:p>
      </w:tc>
    </w:tr>
  </w:tbl>
  <w:p w:rsidR="00000000" w:rsidDel="00000000" w:rsidP="00000000" w:rsidRDefault="00000000" w:rsidRPr="00000000" w14:paraId="000001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bidi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ind w:left="5760" w:firstLine="720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