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356.0" w:type="dxa"/>
        <w:jc w:val="left"/>
        <w:tblInd w:w="2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56"/>
        <w:tblGridChange w:id="0">
          <w:tblGrid>
            <w:gridCol w:w="8356"/>
          </w:tblGrid>
        </w:tblGridChange>
      </w:tblGrid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העליון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בשבתו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כבית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גבוה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לצדק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bidi w:val="1"/>
        <w:jc w:val="right"/>
        <w:rPr>
          <w:rFonts w:ascii="David" w:cs="David" w:eastAsia="David" w:hAnsi="Davi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right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78693-01-25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bidiVisual w:val="1"/>
        <w:tblW w:w="8398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870"/>
        <w:gridCol w:w="5521"/>
        <w:gridCol w:w="7"/>
        <w:tblGridChange w:id="0">
          <w:tblGrid>
            <w:gridCol w:w="2870"/>
            <w:gridCol w:w="5521"/>
            <w:gridCol w:w="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bidi w:val="1"/>
              <w:ind w:right="-295"/>
              <w:jc w:val="both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מינץ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וילנר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חאלד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כבוב</w:t>
            </w:r>
          </w:p>
          <w:p w:rsidR="00000000" w:rsidDel="00000000" w:rsidP="00000000" w:rsidRDefault="00000000" w:rsidRPr="00000000" w14:paraId="0000000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משמר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הדמוקרטיה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הישראלית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D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bidi w:val="1"/>
              <w:ind w:left="2880" w:firstLine="0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נגד</w:t>
            </w:r>
          </w:p>
          <w:p w:rsidR="00000000" w:rsidDel="00000000" w:rsidP="00000000" w:rsidRDefault="00000000" w:rsidRPr="00000000" w14:paraId="0000000F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ועדת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השרים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לענייני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ביטחון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לאומי</w:t>
            </w:r>
          </w:p>
          <w:p w:rsidR="00000000" w:rsidDel="00000000" w:rsidP="00000000" w:rsidRDefault="00000000" w:rsidRPr="00000000" w14:paraId="00000013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14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הממשלה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בנימין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נתניהו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240" w:before="24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עתירה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למתן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צו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תנאי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תגובת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מיום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12.02.2025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יובל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יועז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דניאל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מארקס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;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איגר</w:t>
            </w:r>
          </w:p>
        </w:tc>
      </w:tr>
    </w:tbl>
    <w:p w:rsidR="00000000" w:rsidDel="00000000" w:rsidP="00000000" w:rsidRDefault="00000000" w:rsidRPr="00000000" w14:paraId="0000001C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369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369"/>
        <w:tblGridChange w:id="0">
          <w:tblGrid>
            <w:gridCol w:w="83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David" w:cs="David" w:eastAsia="David" w:hAnsi="David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u w:val="single"/>
                <w:rtl w:val="1"/>
              </w:rPr>
              <w:t xml:space="preserve">פסק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u w:val="single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8"/>
                <w:szCs w:val="28"/>
                <w:u w:val="single"/>
                <w:rtl w:val="1"/>
              </w:rPr>
              <w:t xml:space="preserve">דין</w:t>
            </w:r>
          </w:p>
        </w:tc>
      </w:tr>
    </w:tbl>
    <w:bookmarkStart w:colFirst="0" w:colLast="0" w:name="gjdgxs" w:id="0"/>
    <w:bookmarkEnd w:id="0"/>
    <w:p w:rsidR="00000000" w:rsidDel="00000000" w:rsidP="00000000" w:rsidRDefault="00000000" w:rsidRPr="00000000" w14:paraId="0000001E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360" w:lineRule="auto"/>
        <w:jc w:val="both"/>
        <w:rPr>
          <w:rFonts w:ascii="Century" w:cs="Century" w:eastAsia="Century" w:hAnsi="Century"/>
          <w:b w:val="1"/>
          <w:sz w:val="22"/>
          <w:szCs w:val="22"/>
          <w:u w:val="single"/>
        </w:rPr>
      </w:pP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השופטת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יעל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וילנר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0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800"/>
        </w:tabs>
        <w:bidi w:val="1"/>
        <w:spacing w:line="360" w:lineRule="auto"/>
        <w:ind w:left="0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כחמש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מאות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ימים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חלפו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מיום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חג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שמחת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תורה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תשפ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ג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(7.10.2023),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הדמים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שבו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ָׁ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ַ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ׂ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ׂ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ִ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ֵּ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ּ,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ַּ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ְ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ֶ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ְ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ֹ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ֵ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ּ" 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איכה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טו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שבעים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ושלושה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מאחינו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ואחיותינו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עודם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מוחזקים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בידי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האויב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האכזר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במסגרת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המאמץ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להשיב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לגבולם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אישרה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ממשלת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ישראל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17.1.2025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החלטה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 2689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מתווה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לשחרור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חטופים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ישראלים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".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בעתירה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מבקשת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העותרת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נורה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למשיבים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לפרסם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מלוא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מסמכי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ההסכם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שנחתם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מדינת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ישראל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לבין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ארגון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הטרור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חמאס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בנושא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שחרור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הישראלים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ובפרט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המסמכים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שנכללים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במסגרת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'"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שאישרה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ממשלת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ישראל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בנושא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800"/>
        </w:tabs>
        <w:bidi w:val="1"/>
        <w:spacing w:line="360" w:lineRule="auto"/>
        <w:jc w:val="both"/>
        <w:rPr>
          <w:rFonts w:ascii="Century" w:cs="Century" w:eastAsia="Century" w:hAnsi="Century"/>
          <w:b w:val="1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רקע</w:t>
      </w:r>
    </w:p>
    <w:p w:rsidR="00000000" w:rsidDel="00000000" w:rsidP="00000000" w:rsidRDefault="00000000" w:rsidRPr="00000000" w14:paraId="00000024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800"/>
        </w:tabs>
        <w:bidi w:val="1"/>
        <w:spacing w:line="360" w:lineRule="auto"/>
        <w:ind w:left="0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17.1.2025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אישרה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ממשלת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ישראל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מתווה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לשחרור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חטופים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ישראלים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" (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להלן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גם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0"/>
        </w:rPr>
        <w:t xml:space="preserve">).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בפתח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ההחלטה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נכתב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הוחלט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לשחרור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ישראלים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וחללים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כולל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תנאים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נוספים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המפורטים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בנספח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השמור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במזכירות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הממשלה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ומורכב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ממסמך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תנאים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כלליים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רשימת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שמשתחררים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בשלב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רשימת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אסירים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ביטחוניים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מגורשים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שלושה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וקובץ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מפות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שעיקריו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הוצגו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והוא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הונח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שולחן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 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ההדגשה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הוספה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). </w:t>
      </w:r>
    </w:p>
    <w:p w:rsidR="00000000" w:rsidDel="00000000" w:rsidP="00000000" w:rsidRDefault="00000000" w:rsidRPr="00000000" w14:paraId="00000026">
      <w:pPr>
        <w:bidi w:val="1"/>
        <w:spacing w:line="360" w:lineRule="auto"/>
        <w:ind w:left="720" w:firstLine="0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tabs>
          <w:tab w:val="left" w:leader="none" w:pos="800"/>
        </w:tabs>
        <w:bidi w:val="1"/>
        <w:spacing w:line="360" w:lineRule="auto"/>
        <w:ind w:left="0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שאושר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משא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ומתן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מדיני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מספר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חודשים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כולל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שלושה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הראשון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שבהם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19.1.2025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במקביל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להפוגה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במלחמה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בהתאם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לפירוט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שבהחלטת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עתיד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להימשך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ששה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שבועות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שבמהלכם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אמורים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לחזור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לחיק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משפחותיהם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במספר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פעימות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33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מהחטופים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המוחזקים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בשבי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חלקם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בחיים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וחלקם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חללים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בתמורה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התחייבה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ישראל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לשחרר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737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אסירים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ועצורים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ביטחוניים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נוסף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1,167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תושבי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רצועת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נטלו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חלק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באירועי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הדמים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השבעה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באוקטובר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28">
      <w:pPr>
        <w:bidi w:val="1"/>
        <w:spacing w:line="360" w:lineRule="auto"/>
        <w:ind w:left="720" w:firstLine="0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tabs>
          <w:tab w:val="left" w:leader="none" w:pos="800"/>
        </w:tabs>
        <w:bidi w:val="1"/>
        <w:spacing w:line="360" w:lineRule="auto"/>
        <w:ind w:left="0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היקף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האסירים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שישוחררו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בשלב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ומאפייניהם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נקבעו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במפתח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שפורט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מפנה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לתנאים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נוספים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שמצויים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השמור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במזכירות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פורסם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לציבור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נציין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שבו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לישראל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במסגרת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19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ישראלים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וכן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5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אזרחים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תאילנדים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נקבע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הצדדים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יחלו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במשא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ומתן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עקיף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לשלב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בהתאם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'".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בנוגע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לשלב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ג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נקבע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ימומש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בהתאם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להוראות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'".</w:t>
      </w:r>
    </w:p>
    <w:p w:rsidR="00000000" w:rsidDel="00000000" w:rsidP="00000000" w:rsidRDefault="00000000" w:rsidRPr="00000000" w14:paraId="0000002A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800"/>
        </w:tabs>
        <w:bidi w:val="1"/>
        <w:spacing w:line="360" w:lineRule="auto"/>
        <w:jc w:val="both"/>
        <w:rPr>
          <w:rFonts w:ascii="Century" w:cs="Century" w:eastAsia="Century" w:hAnsi="Century"/>
          <w:b w:val="1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טענות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הצדדים</w:t>
      </w:r>
    </w:p>
    <w:p w:rsidR="00000000" w:rsidDel="00000000" w:rsidP="00000000" w:rsidRDefault="00000000" w:rsidRPr="00000000" w14:paraId="0000002C">
      <w:pPr>
        <w:bidi w:val="1"/>
        <w:spacing w:line="360" w:lineRule="auto"/>
        <w:ind w:left="720" w:firstLine="0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tabs>
          <w:tab w:val="left" w:leader="none" w:pos="800"/>
        </w:tabs>
        <w:bidi w:val="1"/>
        <w:spacing w:line="360" w:lineRule="auto"/>
        <w:ind w:left="0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העותרת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טוענת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עומדת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לאזרחי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ישראל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הזכות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לדעת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מהן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ההסכמות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שנחתמו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ממשלת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ישראל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לבין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ארגון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הטרור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חמאס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זכות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גוברת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חשש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המתעורר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עקב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מלוא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פרטי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ההסכם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לטענתה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הסתרת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המבוקש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יכול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להישען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נימוק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ביטחוני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ראשי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ארגון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הטרור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חמאס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מכירים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ההסכם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לפרטי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פרטיו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טוענת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העותרת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מלוא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פרטי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ההסכם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יסייע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למניעת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תופעות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דיסאינפורמציה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ויגביר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יכולת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לגבש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עמדה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מושכלת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בנוגע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אליו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לבסיס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לבקשתה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העותרת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טוענת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מסתמכת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הוראות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חופש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התשנ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-1998,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מבקשת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לשאוב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מהרציונל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שביסוד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שעניינו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בזכות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לקבלת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לצורך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בקרה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תקינות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פעולת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השלטון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מבקשת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העותרת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לשאוב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השראה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היקש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מהמנהג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החוקתי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שלפיו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הסכמים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בינלאומיים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חשובים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מובאים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לאישור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הכנסת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זוכים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לפומביות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וכן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משאל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שדורש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קבלת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אישור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להסכמים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מדיניים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הנוגעים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להפסקת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תחולת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המשפט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הישראלי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שטח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מסוים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שבו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2E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800"/>
        </w:tabs>
        <w:bidi w:val="1"/>
        <w:spacing w:line="360" w:lineRule="auto"/>
        <w:ind w:left="0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מנגד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טוענים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המסמכים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הנזכרים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בעתירה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לפגוע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במימוש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לשחרור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וכתוצאה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וביחסי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החוץ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בהקשר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מפנים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73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לתקנון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לעבודת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שמצטט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הוראות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35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שכותרתו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סודיות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קובע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היתר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הדיונים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וההחלטות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בעניינים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ויחסי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החוץ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סודיים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וגילויים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ופרסומם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אסור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מדגישים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עמדת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בנוגע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נבחנה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ואושררה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שהעריכו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המסמכים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הכלולים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לפגוע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במימוש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לשחרור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בתוך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טוענים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בהתאם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לפסיקת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זכות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לקבל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מרשויות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השלטון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מוחלטת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יחסית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עשויה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לסגת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מפני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אינטרסים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ציבוריים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חשובים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דוגמת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הנוגעים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ליחסי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החוץ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והביטחון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מוסיפים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הנדון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בגדר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אמנות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לאומיות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שיש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להביא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לאישור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הכנסת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בנסיבות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המנויות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10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לתקנון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הטענה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לקיומו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מנהג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חוקתי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בנושא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נדחתה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בפסיקת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לבסוף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טוענים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החלטתם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לשמור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במזכירות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חלק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אינהרנטי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מהחלטת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עצמו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ומפנים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בהקשר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לפסק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בבג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44322-01-25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בחרנו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בחיים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מדינת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(19.1.2025),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שבו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נדחתה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עתירה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שתקפה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לגופה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  </w:t>
      </w:r>
    </w:p>
    <w:p w:rsidR="00000000" w:rsidDel="00000000" w:rsidP="00000000" w:rsidRDefault="00000000" w:rsidRPr="00000000" w14:paraId="00000030">
      <w:pPr>
        <w:bidi w:val="1"/>
        <w:spacing w:line="360" w:lineRule="auto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line="360" w:lineRule="auto"/>
        <w:rPr>
          <w:rFonts w:ascii="Century" w:cs="Century" w:eastAsia="Century" w:hAnsi="Century"/>
          <w:b w:val="1"/>
          <w:sz w:val="22"/>
          <w:szCs w:val="22"/>
        </w:rPr>
      </w:pP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דיון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והכרעה</w:t>
      </w:r>
    </w:p>
    <w:p w:rsidR="00000000" w:rsidDel="00000000" w:rsidP="00000000" w:rsidRDefault="00000000" w:rsidRPr="00000000" w14:paraId="00000032">
      <w:pPr>
        <w:bidi w:val="1"/>
        <w:spacing w:line="360" w:lineRule="auto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800"/>
        </w:tabs>
        <w:bidi w:val="1"/>
        <w:spacing w:line="360" w:lineRule="auto"/>
        <w:ind w:left="0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לאחר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עיון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בעתירה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ובתגובה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באנו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לכלל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מסקנה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להידחות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בהיעדר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עילה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להתערבותנו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34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8.</w:t>
        <w:tab/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נפתח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במובן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מאליו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הבקשה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לשפוך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כלל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רכיבי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לשחרור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נובעת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מדאגה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עמוקה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וכנה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לשלומם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אחינו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ואחיותינו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הנתונים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בצרה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ובשביה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בידיו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ארגון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טרור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אכזר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ניכר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הרצון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העז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לחזות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בשיבת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כלל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לחיק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משפחותיהם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בהקדם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ואף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לפעול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ניצב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העתירה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אולם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מהטעמים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שיפורטו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בידינו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להיעתר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spacing w:line="360" w:lineRule="auto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800"/>
        </w:tabs>
        <w:bidi w:val="1"/>
        <w:spacing w:line="360" w:lineRule="auto"/>
        <w:jc w:val="both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9. </w:t>
        <w:tab/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חולק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עקרונות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הנוגעים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לשקיפות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פעולות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השלטון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ולזכות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לקבל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בעניינן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מאבני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משטר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דמוקרטי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ואכן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עקרונות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מעוגנים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בדין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הישראלי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בדברי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חקיקה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מפורשים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בפסיקה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ענפה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למשל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הוראות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חופש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מני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9135/03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המועצה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להשכלה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גבוהה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הוצאת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עיתון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הארץ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פ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ס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(4) 217, 231-230 (2006)).</w:t>
      </w:r>
    </w:p>
    <w:p w:rsidR="00000000" w:rsidDel="00000000" w:rsidP="00000000" w:rsidRDefault="00000000" w:rsidRPr="00000000" w14:paraId="00000038">
      <w:pPr>
        <w:tabs>
          <w:tab w:val="left" w:leader="none" w:pos="800"/>
        </w:tabs>
        <w:bidi w:val="1"/>
        <w:spacing w:line="360" w:lineRule="auto"/>
        <w:jc w:val="both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800"/>
        </w:tabs>
        <w:bidi w:val="1"/>
        <w:spacing w:line="360" w:lineRule="auto"/>
        <w:jc w:val="both"/>
        <w:rPr>
          <w:rFonts w:ascii="Century" w:cs="Century" w:eastAsia="Century" w:hAnsi="Century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ab/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יחד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זאת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מושכלות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יסוד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הן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שעקרונות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אלו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עשויים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לסגת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בנסיבות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מסוימות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מפני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עקרונות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אחרים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חשובים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אף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עקרונות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השקיפות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וחופש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המידע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אינם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מוחלטים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אפוא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יחסיים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וכפופים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בין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היתר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להוראות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חקיקה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מפורשות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אוסרות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פרסום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מידע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בעניינים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מסוימים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למשל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9(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)(1)-(2), 9(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)(4)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-17(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חופש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10(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ג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)(2)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הארכיונים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התשט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-1955;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615/15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אורון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ראש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אגף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הפיקוח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ייצוא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ביטחוני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 11-7 (11.4.2016);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עע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מ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 452/21 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התנועה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לחופש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המידע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משרד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ראש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הממשלה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 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פס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' 22-13, 60-52 (7</w:t>
      </w:r>
      <w:r w:rsidDel="00000000" w:rsidR="00000000" w:rsidRPr="00000000">
        <w:rPr>
          <w:rFonts w:ascii="Arimo" w:cs="Arimo" w:eastAsia="Arimo" w:hAnsi="Arimo"/>
          <w:color w:val="000000"/>
          <w:sz w:val="27"/>
          <w:szCs w:val="27"/>
          <w:rtl w:val="0"/>
        </w:rPr>
        <w:t xml:space="preserve">.9.2022)</w:t>
      </w: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spacing w:line="360" w:lineRule="auto"/>
        <w:ind w:left="720" w:firstLine="0"/>
        <w:rPr>
          <w:rFonts w:ascii="Century" w:cs="Century" w:eastAsia="Century" w:hAnsi="Century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10.</w:t>
        <w:tab/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בענייננו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עקרונות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השקיפות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וחופש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נסוגים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מפני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הוראות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מפורשות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המאפשרות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לפרסם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החלטותיה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35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להלן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היסוד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שכותרתו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סודיות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קובע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כדלקמן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: </w:t>
      </w:r>
    </w:p>
    <w:p w:rsidR="00000000" w:rsidDel="00000000" w:rsidP="00000000" w:rsidRDefault="00000000" w:rsidRPr="00000000" w14:paraId="0000003C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ind w:left="1644" w:right="1276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35. 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הדיונים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וההחלטות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ושל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ועדות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השרים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בעניינים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אלה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הם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סודיים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וגילוים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ופרסומם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אסור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E">
      <w:pPr>
        <w:bidi w:val="1"/>
        <w:ind w:left="1644" w:right="1276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(1)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ביטחון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3F">
      <w:pPr>
        <w:bidi w:val="1"/>
        <w:ind w:left="1644" w:right="1276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(2)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יחסי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חוץ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40">
      <w:pPr>
        <w:bidi w:val="1"/>
        <w:ind w:left="1644" w:right="1276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(3)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סוג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ענינים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ראתה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סודיותו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כחיונית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למדינה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והכריזה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בצו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לענין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;</w:t>
      </w:r>
    </w:p>
    <w:p w:rsidR="00000000" w:rsidDel="00000000" w:rsidP="00000000" w:rsidRDefault="00000000" w:rsidRPr="00000000" w14:paraId="00000041">
      <w:pPr>
        <w:bidi w:val="1"/>
        <w:ind w:left="1644" w:right="1276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(4)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ענין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החליטה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לשמרו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ובלבד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שגילויו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ופרסומו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ענין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אסור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ההחלטה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ind w:left="1644" w:right="1276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הוראות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קטן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יחולו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דברים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ראש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ראש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הסמיכוהו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התירו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פרסומם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דברים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שפרסומם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נדרש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43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11.</w:t>
        <w:tab/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יכולה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מחלוקת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שחרור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חלק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ממנו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החלטה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שעניינה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במובהק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ויחסי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החוץ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לפיכך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ברי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הוראת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35(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הנ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חלקיו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השונים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סודי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ואסור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יודגש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בהקשר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בהתאם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ללשון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מנת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שהחלטת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תהא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סודית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ואסורה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נדרש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שפרסומה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יביא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לפגיעה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וביחסי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החוץ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שהחלטה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תהיה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בעניינים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45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12.</w:t>
        <w:tab/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כמובא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לעיל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המכונן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הוסיף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וקבע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35(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ראש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הסמיכו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רשאים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להתיר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החלטות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שאחרת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אסורות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35(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וכן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אחרון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יחול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דברים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שפרסומם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נדרש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בענייננו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הגורמים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המוסמכים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35(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הנ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בחרו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לעשות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שימוש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בסמכותם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בהקשר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אציין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מדגישים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עמדתם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עמדתם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גורמי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שנדרשו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לעניין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מסמכיו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השונים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להזיק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ליישום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לשחרור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ולפיכך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לפגוע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וביחסי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החוץ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עמדה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נוגעת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אפוא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ליחסי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ומצויה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בליבת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שיקול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הגורמים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המוסמכים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והמומחים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בנושאים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בעניין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לחזור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דברים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שהדגשנו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מכבר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בפסק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בעתירה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שעסקה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בגוף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47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ind w:left="1644" w:right="1276" w:firstLine="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מושא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העתירות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אופי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מדיני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וביטחוני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מובהק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נוגעת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ליחסי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החוץ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והביטחון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ישראל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בהיבטים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הקשורים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להחזרת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החטופים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ולשחרורם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אסירים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ביטחוניים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מבטאת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שיקול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דעת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מהותי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והכרעה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עקרונות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מתנגשים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במישור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הערכי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המוסרי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והציבורי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כאחד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ככזו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מצויה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בגרעין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הקשה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סמכויות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הממשלה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האמונה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היבטים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מקומנו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מנהגנו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להתערב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בעניינים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מסוג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מתחם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הביקורת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השיפוטית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צר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ביותר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 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בג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צ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44322-01-25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בחרנו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בחיים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משפחות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שכולות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ונפגעי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פעולות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איבה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נ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מדינת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ישראל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פס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' 14 (19.1.2025)).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13.</w:t>
        <w:tab/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בטענותיה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העותרת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להצדיק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התערבותנו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בהחלטות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הגורמים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המוסמכים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לפרסם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העותרת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טוענת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יכולה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להסתתר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מאחורי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הטענה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בדבר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נימוק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ביטחוני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שעה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שפרטי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ידועים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לאויב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ואולם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העובדה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שההסכם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נערך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האויב</w:t>
      </w:r>
      <w:r w:rsidDel="00000000" w:rsidR="00000000" w:rsidRPr="00000000">
        <w:rPr>
          <w:rFonts w:ascii="Century" w:cs="Century" w:eastAsia="Century" w:hAnsi="Century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מוציאה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הסוגיה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שלפנינו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מגדר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sz w:val="22"/>
          <w:szCs w:val="22"/>
          <w:rtl w:val="1"/>
        </w:rPr>
        <w:t xml:space="preserve">ענייני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ביטחון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ויחסי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2"/>
          <w:szCs w:val="22"/>
          <w:rtl w:val="1"/>
        </w:rPr>
        <w:t xml:space="preserve">חוץ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כלשון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35(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לפיכך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ברירת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המחדל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בענייננו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לעיל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ועוד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: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מטבע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הדברים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קיימים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מגוון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שיקולים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מדיניים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וביטחוניים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מעבר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להכרת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האויב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ההסכם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עשויים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לעמוד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בבסיס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האיסור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לפרסם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חלקים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ממנו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וביסוד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העמדה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להותיר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איסור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כנו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בתוך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המשיבים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וגורמי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הביטחון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בעלי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המומחיות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ושיקול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בדבר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ההשלכות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הביטחוניות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והמדיניות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';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כפי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שכבר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נזכר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מתחם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הביקורת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השיפוטית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בסוגיות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כגון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דא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צר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ביותר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ואין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ממנהגו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להיכנס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בנעליהם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בעלי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הסמכות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בעניינן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 </w:t>
      </w:r>
    </w:p>
    <w:p w:rsidR="00000000" w:rsidDel="00000000" w:rsidP="00000000" w:rsidRDefault="00000000" w:rsidRPr="00000000" w14:paraId="0000004B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800"/>
        </w:tabs>
        <w:bidi w:val="1"/>
        <w:spacing w:line="360" w:lineRule="auto"/>
        <w:ind w:firstLine="72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יודגש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העותרת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להצביע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מקור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בדין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שמכוחו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נדרש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פרסום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נספח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'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למתווה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באופן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שעשוי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להחריגו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מגדר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תחולת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35(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היסוד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ראו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35(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הנ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);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ולעניין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ניתן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להסתפק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בפסיקה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מדגישה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חשיבות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עקרונות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השקיפות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וחופש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המידע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לפעולות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השלטון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עקרונות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שעל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חשיבותם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חולק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אך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אינם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חזות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הכול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sz w:val="22"/>
          <w:szCs w:val="22"/>
          <w:rtl w:val="1"/>
        </w:rPr>
        <w:t xml:space="preserve">.</w:t>
        <w:tab/>
      </w:r>
    </w:p>
    <w:p w:rsidR="00000000" w:rsidDel="00000000" w:rsidP="00000000" w:rsidRDefault="00000000" w:rsidRPr="00000000" w14:paraId="0000004D">
      <w:pPr>
        <w:tabs>
          <w:tab w:val="left" w:leader="none" w:pos="800"/>
        </w:tabs>
        <w:bidi w:val="1"/>
        <w:spacing w:line="360" w:lineRule="auto"/>
        <w:ind w:firstLine="720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b w:val="1"/>
          <w:sz w:val="22"/>
          <w:szCs w:val="22"/>
          <w:rtl w:val="1"/>
        </w:rPr>
        <w:t xml:space="preserve">סוף</w:t>
      </w:r>
      <w:r w:rsidDel="00000000" w:rsidR="00000000" w:rsidRPr="00000000">
        <w:rPr>
          <w:rFonts w:ascii="Arimo" w:cs="Arimo" w:eastAsia="Arimo" w:hAnsi="Arimo"/>
          <w:b w:val="1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1"/>
          <w:sz w:val="22"/>
          <w:szCs w:val="22"/>
          <w:rtl w:val="1"/>
        </w:rPr>
        <w:t xml:space="preserve">דבר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line="360" w:lineRule="auto"/>
        <w:jc w:val="both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14. </w:t>
        <w:tab/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כפי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שצוין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בפתח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ניכר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שהעתירה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שלפנינו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הוגשה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מלב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דואג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לשלומם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החטופים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ומתקווה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לראות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בחזרתם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במהרה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נחתום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אפוא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בתפילה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המשותפת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נזכה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לשיבתם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אחינו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ואחיותינו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לבתיהם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ולחיק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משפחותיהם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בריאים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ושלמים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בגוף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ובנפש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.   </w:t>
      </w:r>
    </w:p>
    <w:p w:rsidR="00000000" w:rsidDel="00000000" w:rsidP="00000000" w:rsidRDefault="00000000" w:rsidRPr="00000000" w14:paraId="00000051">
      <w:pPr>
        <w:bidi w:val="1"/>
        <w:spacing w:line="360" w:lineRule="auto"/>
        <w:jc w:val="both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line="360" w:lineRule="auto"/>
        <w:ind w:firstLine="720"/>
        <w:jc w:val="both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העתירה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נדחית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53">
      <w:pPr>
        <w:bidi w:val="1"/>
        <w:spacing w:line="360" w:lineRule="auto"/>
        <w:ind w:firstLine="720"/>
        <w:jc w:val="both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line="360" w:lineRule="auto"/>
        <w:ind w:firstLine="720"/>
        <w:jc w:val="both"/>
        <w:rPr>
          <w:rFonts w:ascii="Century" w:cs="Century" w:eastAsia="Century" w:hAnsi="Century"/>
          <w:sz w:val="20"/>
          <w:szCs w:val="20"/>
        </w:rPr>
      </w:pP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צו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להוצאות</w:t>
      </w:r>
      <w:r w:rsidDel="00000000" w:rsidR="00000000" w:rsidRPr="00000000">
        <w:rPr>
          <w:rFonts w:ascii="Century" w:cs="Century" w:eastAsia="Century" w:hAnsi="Century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55">
      <w:pPr>
        <w:tabs>
          <w:tab w:val="left" w:leader="none" w:pos="800"/>
        </w:tabs>
        <w:bidi w:val="1"/>
        <w:spacing w:line="360" w:lineRule="auto"/>
        <w:jc w:val="both"/>
        <w:rPr>
          <w:rFonts w:ascii="Arimo" w:cs="Arimo" w:eastAsia="Arimo" w:hAnsi="Arim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ניתן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ח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שבט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תשפ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(16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פברואר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2025).</w:t>
      </w:r>
    </w:p>
    <w:p w:rsidR="00000000" w:rsidDel="00000000" w:rsidP="00000000" w:rsidRDefault="00000000" w:rsidRPr="00000000" w14:paraId="00000057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307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19"/>
        <w:gridCol w:w="2751"/>
        <w:gridCol w:w="2737"/>
        <w:tblGridChange w:id="0">
          <w:tblGrid>
            <w:gridCol w:w="2819"/>
            <w:gridCol w:w="2751"/>
            <w:gridCol w:w="27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Visual w:val="1"/>
              <w:tblW w:w="255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51"/>
              <w:tblGridChange w:id="0">
                <w:tblGrid>
                  <w:gridCol w:w="255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59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/>
                    <w:drawing>
                      <wp:inline distB="0" distT="0" distL="0" distR="0">
                        <wp:extent cx="1171575" cy="765175"/>
                        <wp:effectExtent b="0" l="0" r="0" t="0"/>
                        <wp:docPr id="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1575" cy="76517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5A">
                  <w:pPr>
                    <w:pStyle w:val="Heading3"/>
                    <w:bidi w:val="1"/>
                    <w:spacing w:line="240" w:lineRule="auto"/>
                    <w:jc w:val="center"/>
                    <w:rPr>
                      <w:b w:val="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0"/>
                      <w:sz w:val="28"/>
                      <w:szCs w:val="28"/>
                      <w:rtl w:val="1"/>
                    </w:rPr>
                    <w:t xml:space="preserve">דוד</w:t>
                  </w:r>
                  <w:r w:rsidDel="00000000" w:rsidR="00000000" w:rsidRPr="00000000">
                    <w:rPr>
                      <w:b w:val="0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0"/>
                      <w:sz w:val="28"/>
                      <w:szCs w:val="28"/>
                      <w:rtl w:val="1"/>
                    </w:rPr>
                    <w:t xml:space="preserve">מינץ</w:t>
                  </w:r>
                  <w:r w:rsidDel="00000000" w:rsidR="00000000" w:rsidRPr="00000000">
                    <w:rPr>
                      <w:b w:val="0"/>
                      <w:sz w:val="28"/>
                      <w:szCs w:val="28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5B">
                  <w:pPr>
                    <w:pStyle w:val="Heading3"/>
                    <w:bidi w:val="1"/>
                    <w:spacing w:line="240" w:lineRule="auto"/>
                    <w:jc w:val="center"/>
                    <w:rPr>
                      <w:b w:val="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0"/>
                      <w:sz w:val="28"/>
                      <w:szCs w:val="28"/>
                      <w:rtl w:val="1"/>
                    </w:rPr>
                    <w:t xml:space="preserve">שופט</w:t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bidi w:val="1"/>
              <w:spacing w:line="360" w:lineRule="auto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bidiVisual w:val="1"/>
              <w:tblW w:w="25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35"/>
              <w:tblGridChange w:id="0">
                <w:tblGrid>
                  <w:gridCol w:w="2535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</w:rPr>
                    <w:drawing>
                      <wp:inline distB="0" distT="0" distL="0" distR="0">
                        <wp:extent cx="909095" cy="751923"/>
                        <wp:effectExtent b="0" l="0" r="0" t="0"/>
                        <wp:docPr descr="וילנר 056062730" id="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וילנר 056062730"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9095" cy="75192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bidi w:val="1"/>
                    <w:jc w:val="center"/>
                    <w:rPr>
                      <w:rFonts w:ascii="FrankRuehl" w:cs="FrankRuehl" w:eastAsia="FrankRuehl" w:hAnsi="FrankRuehl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יעל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וילנר</w:t>
                  </w:r>
                </w:p>
                <w:p w:rsidR="00000000" w:rsidDel="00000000" w:rsidP="00000000" w:rsidRDefault="00000000" w:rsidRPr="00000000" w14:paraId="00000061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sz w:val="28"/>
                      <w:szCs w:val="28"/>
                      <w:rtl w:val="1"/>
                    </w:rPr>
                    <w:t xml:space="preserve">שופטת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2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bidi w:val="1"/>
              <w:spacing w:line="360" w:lineRule="auto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Visual w:val="1"/>
              <w:tblW w:w="252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21"/>
              <w:tblGridChange w:id="0">
                <w:tblGrid>
                  <w:gridCol w:w="252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0" distB="0" distT="0" distL="114300" distR="114300" hidden="0" layoutInCell="1" locked="0" relativeHeight="0" simplePos="0">
                        <wp:simplePos x="0" y="0"/>
                        <wp:positionH relativeFrom="column">
                          <wp:posOffset>372745</wp:posOffset>
                        </wp:positionH>
                        <wp:positionV relativeFrom="paragraph">
                          <wp:posOffset>15240</wp:posOffset>
                        </wp:positionV>
                        <wp:extent cx="733425" cy="763625"/>
                        <wp:effectExtent b="0" l="0" r="0" t="0"/>
                        <wp:wrapNone/>
                        <wp:docPr descr="054785233"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054785233"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425" cy="7636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66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rtl w:val="1"/>
                    </w:rPr>
                    <w:t xml:space="preserve">חאלד</w:t>
                  </w:r>
                  <w:r w:rsidDel="00000000" w:rsidR="00000000" w:rsidRPr="00000000">
                    <w:rPr>
                      <w:rFonts w:ascii="Courier New" w:cs="Courier New" w:eastAsia="Courier New" w:hAnsi="Courier New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Courier New" w:cs="Courier New" w:eastAsia="Courier New" w:hAnsi="Courier New"/>
                      <w:rtl w:val="1"/>
                    </w:rPr>
                    <w:t xml:space="preserve">כבוב</w:t>
                  </w:r>
                </w:p>
                <w:p w:rsidR="00000000" w:rsidDel="00000000" w:rsidP="00000000" w:rsidRDefault="00000000" w:rsidRPr="00000000" w14:paraId="00000067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Fonts w:ascii="Courier New" w:cs="Courier New" w:eastAsia="Courier New" w:hAnsi="Courier New"/>
                      <w:rtl w:val="1"/>
                    </w:rPr>
                    <w:t xml:space="preserve">שופט</w:t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bidi w:val="1"/>
              <w:spacing w:line="360" w:lineRule="auto"/>
              <w:jc w:val="center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553"/>
        </w:tabs>
        <w:bidi w:val="1"/>
        <w:ind w:left="5040" w:firstLine="0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553"/>
        </w:tabs>
        <w:bidi w:val="1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0"/>
        </w:rPr>
        <w:tab/>
        <w:tab/>
        <w:tab/>
        <w:tab/>
        <w:t xml:space="preserve">        </w:t>
      </w:r>
    </w:p>
    <w:sectPr>
      <w:headerReference r:id="rId9" w:type="default"/>
      <w:headerReference r:id="rId10" w:type="first"/>
      <w:pgSz w:h="16840" w:w="11907" w:orient="portrait"/>
      <w:pgMar w:bottom="1440" w:top="1440" w:left="1800" w:right="1800" w:header="720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Tahoma"/>
  <w:font w:name="David"/>
  <w:font w:name="Times New Roman"/>
  <w:font w:name="FrankRuehl"/>
  <w:font w:name="Century"/>
  <w:font w:name="Arimo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bidi w:val="1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4820" cy="44958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820" cy="449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4" w:hanging="360"/>
      </w:pPr>
      <w:rPr/>
    </w:lvl>
    <w:lvl w:ilvl="1">
      <w:start w:val="1"/>
      <w:numFmt w:val="lowerLetter"/>
      <w:lvlText w:val="%2."/>
      <w:lvlJc w:val="left"/>
      <w:pPr>
        <w:ind w:left="2004" w:hanging="360"/>
      </w:pPr>
      <w:rPr/>
    </w:lvl>
    <w:lvl w:ilvl="2">
      <w:start w:val="1"/>
      <w:numFmt w:val="lowerRoman"/>
      <w:lvlText w:val="%3."/>
      <w:lvlJc w:val="right"/>
      <w:pPr>
        <w:ind w:left="2724" w:hanging="180"/>
      </w:pPr>
      <w:rPr/>
    </w:lvl>
    <w:lvl w:ilvl="3">
      <w:start w:val="1"/>
      <w:numFmt w:val="decimal"/>
      <w:lvlText w:val="%4."/>
      <w:lvlJc w:val="left"/>
      <w:pPr>
        <w:ind w:left="3444" w:hanging="360"/>
      </w:pPr>
      <w:rPr/>
    </w:lvl>
    <w:lvl w:ilvl="4">
      <w:start w:val="1"/>
      <w:numFmt w:val="lowerLetter"/>
      <w:lvlText w:val="%5."/>
      <w:lvlJc w:val="left"/>
      <w:pPr>
        <w:ind w:left="4164" w:hanging="360"/>
      </w:pPr>
      <w:rPr/>
    </w:lvl>
    <w:lvl w:ilvl="5">
      <w:start w:val="1"/>
      <w:numFmt w:val="lowerRoman"/>
      <w:lvlText w:val="%6."/>
      <w:lvlJc w:val="right"/>
      <w:pPr>
        <w:ind w:left="4884" w:hanging="180"/>
      </w:pPr>
      <w:rPr/>
    </w:lvl>
    <w:lvl w:ilvl="6">
      <w:start w:val="1"/>
      <w:numFmt w:val="decimal"/>
      <w:lvlText w:val="%7."/>
      <w:lvlJc w:val="left"/>
      <w:pPr>
        <w:ind w:left="5604" w:hanging="360"/>
      </w:pPr>
      <w:rPr/>
    </w:lvl>
    <w:lvl w:ilvl="7">
      <w:start w:val="1"/>
      <w:numFmt w:val="lowerLetter"/>
      <w:lvlText w:val="%8."/>
      <w:lvlJc w:val="left"/>
      <w:pPr>
        <w:ind w:left="6324" w:hanging="360"/>
      </w:pPr>
      <w:rPr/>
    </w:lvl>
    <w:lvl w:ilvl="8">
      <w:start w:val="1"/>
      <w:numFmt w:val="lowerRoman"/>
      <w:lvlText w:val="%9."/>
      <w:lvlJc w:val="right"/>
      <w:pPr>
        <w:ind w:left="704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both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5760" w:firstLine="720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