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E3D" w:rsidRDefault="00D51E3D" w:rsidP="00D51E3D">
      <w:pPr>
        <w:jc w:val="center"/>
        <w:rPr>
          <w:rFonts w:ascii="FrankRuehl" w:hAnsi="FrankRuehl" w:cs="FrankRuehl" w:hint="cs"/>
          <w:sz w:val="30"/>
          <w:szCs w:val="30"/>
          <w:u w:val="single"/>
          <w:rtl/>
        </w:rPr>
      </w:pPr>
    </w:p>
    <w:p w:rsidR="00D51E3D" w:rsidRPr="00664D75" w:rsidRDefault="00D51E3D" w:rsidP="00D51E3D">
      <w:pPr>
        <w:jc w:val="center"/>
        <w:rPr>
          <w:rFonts w:ascii="FrankRuehl" w:hAnsi="FrankRuehl" w:cs="FrankRuehl"/>
          <w:sz w:val="30"/>
          <w:szCs w:val="30"/>
          <w:u w:val="single"/>
          <w:rtl/>
        </w:rPr>
      </w:pPr>
      <w:r w:rsidRPr="00664D75">
        <w:rPr>
          <w:rFonts w:ascii="FrankRuehl" w:hAnsi="FrankRuehl" w:cs="FrankRuehl" w:hint="cs"/>
          <w:sz w:val="30"/>
          <w:szCs w:val="30"/>
          <w:u w:val="single"/>
          <w:rtl/>
        </w:rPr>
        <w:t xml:space="preserve">הודעה לעיתונות </w:t>
      </w:r>
    </w:p>
    <w:p w:rsidR="00D51E3D" w:rsidRPr="00664D75" w:rsidRDefault="00D51E3D" w:rsidP="00D51E3D">
      <w:pPr>
        <w:jc w:val="center"/>
        <w:rPr>
          <w:rFonts w:ascii="FrankRuehl" w:hAnsi="FrankRuehl" w:cs="FrankRuehl"/>
          <w:b/>
          <w:bCs/>
          <w:sz w:val="30"/>
          <w:szCs w:val="30"/>
          <w:u w:val="single"/>
          <w:rtl/>
        </w:rPr>
      </w:pPr>
      <w:r>
        <w:rPr>
          <w:rFonts w:ascii="FrankRuehl" w:hAnsi="FrankRuehl" w:cs="FrankRuehl" w:hint="cs"/>
          <w:b/>
          <w:bCs/>
          <w:sz w:val="30"/>
          <w:szCs w:val="30"/>
          <w:u w:val="single"/>
          <w:rtl/>
        </w:rPr>
        <w:t>תמצית ה</w:t>
      </w:r>
      <w:r w:rsidRPr="00664D75">
        <w:rPr>
          <w:rFonts w:ascii="FrankRuehl" w:hAnsi="FrankRuehl" w:cs="FrankRuehl"/>
          <w:b/>
          <w:bCs/>
          <w:sz w:val="30"/>
          <w:szCs w:val="30"/>
          <w:u w:val="single"/>
          <w:rtl/>
        </w:rPr>
        <w:t>דיון בעניינם של מקבלי הודעות האזהרה</w:t>
      </w:r>
    </w:p>
    <w:p w:rsidR="00D51E3D" w:rsidRPr="00664D75" w:rsidRDefault="00D51E3D" w:rsidP="00D51E3D">
      <w:pPr>
        <w:jc w:val="center"/>
        <w:rPr>
          <w:rFonts w:ascii="FrankRuehl" w:hAnsi="FrankRuehl" w:cs="FrankRuehl"/>
          <w:sz w:val="24"/>
          <w:szCs w:val="24"/>
          <w:rtl/>
        </w:rPr>
      </w:pPr>
      <w:r>
        <w:rPr>
          <w:rFonts w:ascii="FrankRuehl" w:hAnsi="FrankRuehl" w:cs="FrankRuehl" w:hint="cs"/>
          <w:b/>
          <w:bCs/>
          <w:sz w:val="24"/>
          <w:szCs w:val="24"/>
          <w:u w:val="single"/>
          <w:rtl/>
        </w:rPr>
        <w:t xml:space="preserve">שער חמישי: פרק 27 </w:t>
      </w:r>
    </w:p>
    <w:p w:rsidR="00D51E3D" w:rsidRPr="00664D75" w:rsidRDefault="00D51E3D" w:rsidP="00D51E3D">
      <w:pPr>
        <w:spacing w:line="360" w:lineRule="auto"/>
        <w:jc w:val="both"/>
        <w:rPr>
          <w:rFonts w:ascii="FrankRuehl" w:hAnsi="FrankRuehl" w:cs="FrankRuehl"/>
          <w:b/>
          <w:bCs/>
          <w:sz w:val="24"/>
          <w:szCs w:val="24"/>
          <w:rtl/>
        </w:rPr>
      </w:pPr>
    </w:p>
    <w:p w:rsidR="00D51E3D" w:rsidRPr="00664D75" w:rsidRDefault="00D51E3D" w:rsidP="00D51E3D">
      <w:pPr>
        <w:spacing w:line="360" w:lineRule="auto"/>
        <w:jc w:val="both"/>
        <w:rPr>
          <w:rFonts w:ascii="FrankRuehl" w:hAnsi="FrankRuehl" w:cs="FrankRuehl"/>
          <w:b/>
          <w:bCs/>
          <w:sz w:val="28"/>
          <w:szCs w:val="28"/>
          <w:u w:val="single"/>
          <w:rtl/>
        </w:rPr>
      </w:pPr>
      <w:r w:rsidRPr="00664D75">
        <w:rPr>
          <w:rFonts w:ascii="FrankRuehl" w:hAnsi="FrankRuehl" w:cs="FrankRuehl"/>
          <w:b/>
          <w:bCs/>
          <w:sz w:val="28"/>
          <w:szCs w:val="28"/>
          <w:u w:val="single"/>
          <w:rtl/>
        </w:rPr>
        <w:t>בנימין נתניהו, ראש הממשלה</w:t>
      </w:r>
    </w:p>
    <w:p w:rsidR="00D51E3D" w:rsidRPr="00664D75" w:rsidRDefault="00D51E3D" w:rsidP="00D51E3D">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Style w:val="a3"/>
          <w:rFonts w:ascii="FrankRuehl" w:hAnsi="FrankRuehl" w:cs="FrankRuehl"/>
          <w:i w:val="0"/>
          <w:iCs w:val="0"/>
          <w:sz w:val="24"/>
          <w:szCs w:val="24"/>
          <w:rtl/>
        </w:rPr>
      </w:pPr>
      <w:r w:rsidRPr="00664D75">
        <w:rPr>
          <w:rStyle w:val="a3"/>
          <w:rFonts w:ascii="FrankRuehl" w:hAnsi="FrankRuehl" w:cs="FrankRuehl"/>
          <w:sz w:val="24"/>
          <w:szCs w:val="24"/>
          <w:rtl/>
        </w:rPr>
        <w:t>הוועדה הטילה על נתניהו אחריות אישית. היות שתפקיד ראש הממשלה הוא במהותו תפקיד נבחר, בעל מאפיינים ייחודיים, החליטה הוועדה שלא להמליץ המלצה אופרטיבית בעניינו של נתניהו.</w:t>
      </w:r>
    </w:p>
    <w:p w:rsidR="00D51E3D" w:rsidRDefault="00D51E3D" w:rsidP="00D51E3D">
      <w:pPr>
        <w:spacing w:line="360" w:lineRule="auto"/>
        <w:jc w:val="both"/>
        <w:rPr>
          <w:rFonts w:ascii="FrankRuehl" w:hAnsi="FrankRuehl" w:cs="FrankRuehl"/>
          <w:b/>
          <w:bCs/>
          <w:sz w:val="28"/>
          <w:szCs w:val="28"/>
          <w:u w:val="single"/>
          <w:rtl/>
        </w:rPr>
      </w:pPr>
    </w:p>
    <w:p w:rsidR="00D51E3D" w:rsidRPr="00664D75" w:rsidRDefault="00D51E3D" w:rsidP="00D51E3D">
      <w:pPr>
        <w:spacing w:line="360" w:lineRule="auto"/>
        <w:jc w:val="both"/>
        <w:rPr>
          <w:rFonts w:ascii="FrankRuehl" w:hAnsi="FrankRuehl" w:cs="FrankRuehl"/>
          <w:b/>
          <w:bCs/>
          <w:sz w:val="28"/>
          <w:szCs w:val="28"/>
          <w:u w:val="single"/>
          <w:rtl/>
        </w:rPr>
      </w:pPr>
      <w:r w:rsidRPr="00664D75">
        <w:rPr>
          <w:rFonts w:ascii="FrankRuehl" w:hAnsi="FrankRuehl" w:cs="FrankRuehl"/>
          <w:b/>
          <w:bCs/>
          <w:sz w:val="28"/>
          <w:szCs w:val="28"/>
          <w:u w:val="single"/>
          <w:rtl/>
        </w:rPr>
        <w:t>חבר הכנסת אמיר אוחנה, השר לביטחון הפנים בעת האסון</w:t>
      </w:r>
    </w:p>
    <w:p w:rsidR="00D51E3D" w:rsidRPr="00664D75" w:rsidRDefault="00D51E3D" w:rsidP="00D51E3D">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Style w:val="a3"/>
          <w:rFonts w:ascii="FrankRuehl" w:hAnsi="FrankRuehl" w:cs="FrankRuehl"/>
          <w:i w:val="0"/>
          <w:iCs w:val="0"/>
          <w:sz w:val="24"/>
          <w:szCs w:val="24"/>
          <w:rtl/>
        </w:rPr>
      </w:pPr>
      <w:r w:rsidRPr="00664D75">
        <w:rPr>
          <w:rStyle w:val="a3"/>
          <w:rFonts w:ascii="FrankRuehl" w:hAnsi="FrankRuehl" w:cs="FrankRuehl"/>
          <w:sz w:val="24"/>
          <w:szCs w:val="24"/>
          <w:rtl/>
        </w:rPr>
        <w:t>הוועדה הטילה על אוחנה אחריות אישית, והמליצה כי לא ימונה בעתיד לתפקיד השר לביטחון פנים.</w:t>
      </w:r>
    </w:p>
    <w:p w:rsidR="00D51E3D" w:rsidRPr="00664D75" w:rsidRDefault="00D51E3D" w:rsidP="00D51E3D">
      <w:pPr>
        <w:spacing w:line="360" w:lineRule="auto"/>
        <w:jc w:val="both"/>
        <w:rPr>
          <w:rFonts w:ascii="FrankRuehl" w:hAnsi="FrankRuehl" w:cs="FrankRuehl"/>
          <w:b/>
          <w:bCs/>
          <w:sz w:val="24"/>
          <w:szCs w:val="24"/>
          <w:rtl/>
        </w:rPr>
      </w:pPr>
    </w:p>
    <w:p w:rsidR="00D51E3D" w:rsidRPr="00664D75" w:rsidRDefault="00D51E3D" w:rsidP="00D51E3D">
      <w:pPr>
        <w:spacing w:line="360" w:lineRule="auto"/>
        <w:jc w:val="both"/>
        <w:rPr>
          <w:rFonts w:ascii="FrankRuehl" w:hAnsi="FrankRuehl" w:cs="FrankRuehl"/>
          <w:b/>
          <w:bCs/>
          <w:sz w:val="28"/>
          <w:szCs w:val="28"/>
          <w:u w:val="single"/>
          <w:rtl/>
        </w:rPr>
      </w:pPr>
      <w:r w:rsidRPr="00664D75">
        <w:rPr>
          <w:rFonts w:ascii="FrankRuehl" w:hAnsi="FrankRuehl" w:cs="FrankRuehl"/>
          <w:b/>
          <w:bCs/>
          <w:sz w:val="28"/>
          <w:szCs w:val="28"/>
          <w:u w:val="single"/>
          <w:rtl/>
        </w:rPr>
        <w:t>הרב יעקב אביטן, השר לשירותי דת בעת האסון</w:t>
      </w:r>
    </w:p>
    <w:p w:rsidR="00D51E3D" w:rsidRPr="00664D75" w:rsidRDefault="00D51E3D" w:rsidP="00D51E3D">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Style w:val="a3"/>
          <w:rFonts w:ascii="FrankRuehl" w:hAnsi="FrankRuehl" w:cs="FrankRuehl"/>
          <w:i w:val="0"/>
          <w:iCs w:val="0"/>
          <w:sz w:val="24"/>
          <w:szCs w:val="24"/>
          <w:rtl/>
        </w:rPr>
      </w:pPr>
      <w:r w:rsidRPr="00664D75">
        <w:rPr>
          <w:rStyle w:val="a3"/>
          <w:rFonts w:ascii="FrankRuehl" w:hAnsi="FrankRuehl" w:cs="FrankRuehl"/>
          <w:sz w:val="24"/>
          <w:szCs w:val="24"/>
          <w:rtl/>
        </w:rPr>
        <w:t>הוועדה הטילה על אביטן אחריות אישית, והמליצה, נוכח הממצאים לגבי תפקודו, כי לא ימונה בעתיד לתפקיד שר בממשלת ישראל.</w:t>
      </w:r>
    </w:p>
    <w:p w:rsidR="00D51E3D" w:rsidRPr="00664D75" w:rsidRDefault="00D51E3D" w:rsidP="00D51E3D">
      <w:pPr>
        <w:spacing w:line="360" w:lineRule="auto"/>
        <w:jc w:val="both"/>
        <w:rPr>
          <w:rFonts w:ascii="FrankRuehl" w:hAnsi="FrankRuehl" w:cs="FrankRuehl"/>
          <w:sz w:val="24"/>
          <w:szCs w:val="24"/>
          <w:rtl/>
        </w:rPr>
      </w:pPr>
    </w:p>
    <w:p w:rsidR="00D51E3D" w:rsidRPr="00664D75" w:rsidRDefault="00D51E3D" w:rsidP="00D51E3D">
      <w:pPr>
        <w:spacing w:line="360" w:lineRule="auto"/>
        <w:jc w:val="both"/>
        <w:rPr>
          <w:rFonts w:ascii="FrankRuehl" w:hAnsi="FrankRuehl" w:cs="FrankRuehl"/>
          <w:b/>
          <w:bCs/>
          <w:sz w:val="28"/>
          <w:szCs w:val="28"/>
          <w:u w:val="single"/>
          <w:rtl/>
        </w:rPr>
      </w:pPr>
      <w:r w:rsidRPr="00664D75">
        <w:rPr>
          <w:rFonts w:ascii="FrankRuehl" w:hAnsi="FrankRuehl" w:cs="FrankRuehl"/>
          <w:b/>
          <w:bCs/>
          <w:sz w:val="28"/>
          <w:szCs w:val="28"/>
          <w:u w:val="single"/>
          <w:rtl/>
        </w:rPr>
        <w:t xml:space="preserve">רב-ניצב יעקב שבתאי,  המפקח הכללי של משטרת ישראל </w:t>
      </w:r>
    </w:p>
    <w:p w:rsidR="00D51E3D" w:rsidRPr="00664D75" w:rsidRDefault="00D51E3D" w:rsidP="00D51E3D">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Fonts w:ascii="FrankRuehl" w:hAnsi="FrankRuehl" w:cs="FrankRuehl"/>
          <w:sz w:val="24"/>
          <w:szCs w:val="24"/>
          <w:rtl/>
        </w:rPr>
      </w:pPr>
      <w:r w:rsidRPr="00664D75">
        <w:rPr>
          <w:rFonts w:ascii="FrankRuehl" w:hAnsi="FrankRuehl" w:cs="FrankRuehl"/>
          <w:sz w:val="24"/>
          <w:szCs w:val="24"/>
          <w:rtl/>
        </w:rPr>
        <w:t>הוועדה הטילה על שבתאי אחריות אישית. הוועדה ציינה כי ב-17.1.2024, בצוק העיתים, על רקע המלחמה הוארכה כהונתו של שבתאי כמפכ"ל המשטרה בחצי שנה. הוועדה ציינה כי לכאורה, הממצאים בעניינו של שבתאי היו מביאים אותה להמלצה על סיום תפקידו, אך בהתחשב בנסיבות מיוחדות אלה היא מותירה לממשלה לקבוע את המועד הנכון לסיום תפקידו.</w:t>
      </w:r>
    </w:p>
    <w:p w:rsidR="00D51E3D" w:rsidRDefault="00D51E3D" w:rsidP="00D51E3D">
      <w:pPr>
        <w:spacing w:line="360" w:lineRule="auto"/>
        <w:jc w:val="both"/>
        <w:rPr>
          <w:rFonts w:ascii="FrankRuehl" w:hAnsi="FrankRuehl" w:cs="FrankRuehl"/>
          <w:b/>
          <w:bCs/>
          <w:sz w:val="28"/>
          <w:szCs w:val="28"/>
          <w:u w:val="single"/>
          <w:rtl/>
        </w:rPr>
      </w:pPr>
    </w:p>
    <w:p w:rsidR="00D51E3D" w:rsidRPr="00664D75" w:rsidRDefault="00D51E3D" w:rsidP="00D51E3D">
      <w:pPr>
        <w:spacing w:line="360" w:lineRule="auto"/>
        <w:jc w:val="both"/>
        <w:rPr>
          <w:rFonts w:ascii="FrankRuehl" w:hAnsi="FrankRuehl" w:cs="FrankRuehl"/>
          <w:b/>
          <w:bCs/>
          <w:sz w:val="28"/>
          <w:szCs w:val="28"/>
          <w:u w:val="single"/>
          <w:rtl/>
        </w:rPr>
      </w:pPr>
      <w:r w:rsidRPr="00664D75">
        <w:rPr>
          <w:rFonts w:ascii="FrankRuehl" w:hAnsi="FrankRuehl" w:cs="FrankRuehl"/>
          <w:b/>
          <w:bCs/>
          <w:sz w:val="28"/>
          <w:szCs w:val="28"/>
          <w:u w:val="single"/>
          <w:rtl/>
        </w:rPr>
        <w:t>שמעון לביא, מפקד מחוז צפון במשטרת ישראל בעת האסון</w:t>
      </w:r>
    </w:p>
    <w:p w:rsidR="00D51E3D" w:rsidRPr="00664D75" w:rsidRDefault="00D51E3D" w:rsidP="00D51E3D">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Style w:val="a3"/>
          <w:rFonts w:ascii="FrankRuehl" w:hAnsi="FrankRuehl" w:cs="FrankRuehl"/>
          <w:i w:val="0"/>
          <w:iCs w:val="0"/>
          <w:sz w:val="24"/>
          <w:szCs w:val="24"/>
          <w:rtl/>
        </w:rPr>
      </w:pPr>
      <w:r w:rsidRPr="00664D75">
        <w:rPr>
          <w:rStyle w:val="a3"/>
          <w:rFonts w:ascii="FrankRuehl" w:hAnsi="FrankRuehl" w:cs="FrankRuehl"/>
          <w:sz w:val="24"/>
          <w:szCs w:val="24"/>
          <w:rtl/>
        </w:rPr>
        <w:t xml:space="preserve">הוועדה הטילה על לביא אחריות אישית. הוועדה ציינה כי לביא קיבל על עצמו אחריות מייד לאחר האירוע, וכי בהמשך אף הסיק מסקנות אישיות והתפטר מתפקידו. בכך, סברה הוועדה, נהג לביא כמצופה ממפקד ועל פי ערכי הפיקוד של המשטרה. הוועדה ציינה כי מאז 30.6.2023 הוא כבר אינו משרת במשטרה. בהתחשב באמור, החליטה הוועדה להסתפק בעניינו בקביעת הממצאים והמסקנות כפי שפורטו בדו"ח. </w:t>
      </w:r>
    </w:p>
    <w:p w:rsidR="00D51E3D" w:rsidRDefault="00D51E3D" w:rsidP="00D51E3D">
      <w:pPr>
        <w:spacing w:line="360" w:lineRule="auto"/>
        <w:jc w:val="both"/>
        <w:rPr>
          <w:rFonts w:ascii="FrankRuehl" w:hAnsi="FrankRuehl" w:cs="FrankRuehl"/>
          <w:b/>
          <w:bCs/>
          <w:sz w:val="28"/>
          <w:szCs w:val="28"/>
          <w:u w:val="single"/>
          <w:rtl/>
        </w:rPr>
      </w:pPr>
    </w:p>
    <w:p w:rsidR="00D51E3D" w:rsidRPr="00664D75" w:rsidRDefault="00D51E3D" w:rsidP="00D51E3D">
      <w:pPr>
        <w:spacing w:line="360" w:lineRule="auto"/>
        <w:jc w:val="both"/>
        <w:rPr>
          <w:rFonts w:ascii="FrankRuehl" w:hAnsi="FrankRuehl" w:cs="FrankRuehl"/>
          <w:b/>
          <w:bCs/>
          <w:sz w:val="28"/>
          <w:szCs w:val="28"/>
          <w:u w:val="single"/>
          <w:rtl/>
        </w:rPr>
      </w:pPr>
      <w:r w:rsidRPr="00664D75">
        <w:rPr>
          <w:rFonts w:ascii="FrankRuehl" w:hAnsi="FrankRuehl" w:cs="FrankRuehl"/>
          <w:b/>
          <w:bCs/>
          <w:sz w:val="28"/>
          <w:szCs w:val="28"/>
          <w:u w:val="single"/>
          <w:rtl/>
        </w:rPr>
        <w:t>תת-ניצב שלום אביטן, מפקד מרחב עמקים במשטרת ישראל בעת האסון</w:t>
      </w:r>
    </w:p>
    <w:p w:rsidR="00D51E3D" w:rsidRPr="00664D75" w:rsidRDefault="00D51E3D" w:rsidP="00D51E3D">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Style w:val="a3"/>
          <w:rFonts w:ascii="FrankRuehl" w:hAnsi="FrankRuehl" w:cs="FrankRuehl"/>
          <w:i w:val="0"/>
          <w:iCs w:val="0"/>
          <w:sz w:val="24"/>
          <w:szCs w:val="24"/>
          <w:rtl/>
        </w:rPr>
      </w:pPr>
      <w:r w:rsidRPr="00664D75">
        <w:rPr>
          <w:rStyle w:val="a3"/>
          <w:rFonts w:ascii="FrankRuehl" w:hAnsi="FrankRuehl" w:cs="FrankRuehl"/>
          <w:sz w:val="24"/>
          <w:szCs w:val="24"/>
          <w:rtl/>
        </w:rPr>
        <w:t>הוועדה הטילה על אביטן אחריות אישית, וציינה כי לכאורה הממצאים בעניינו היו מובילים להמלצה על סיום תפקידו כמפקד מרחב עמקים, אולם המלצה זו התייתרה לאור פרישתו של אביטן מהמשטרה.</w:t>
      </w:r>
    </w:p>
    <w:p w:rsidR="00D51E3D" w:rsidRPr="00664D75" w:rsidRDefault="00D51E3D" w:rsidP="00D51E3D">
      <w:pPr>
        <w:spacing w:line="360" w:lineRule="auto"/>
        <w:jc w:val="both"/>
        <w:rPr>
          <w:rFonts w:ascii="FrankRuehl" w:hAnsi="FrankRuehl" w:cs="FrankRuehl"/>
          <w:b/>
          <w:bCs/>
          <w:sz w:val="24"/>
          <w:szCs w:val="24"/>
          <w:rtl/>
        </w:rPr>
      </w:pPr>
    </w:p>
    <w:p w:rsidR="00D51E3D" w:rsidRPr="00664D75" w:rsidRDefault="00D51E3D" w:rsidP="00D51E3D">
      <w:pPr>
        <w:spacing w:line="360" w:lineRule="auto"/>
        <w:jc w:val="both"/>
        <w:rPr>
          <w:rFonts w:ascii="FrankRuehl" w:hAnsi="FrankRuehl" w:cs="FrankRuehl"/>
          <w:b/>
          <w:bCs/>
          <w:sz w:val="28"/>
          <w:szCs w:val="28"/>
          <w:u w:val="single"/>
          <w:rtl/>
        </w:rPr>
      </w:pPr>
      <w:r w:rsidRPr="00664D75">
        <w:rPr>
          <w:rFonts w:ascii="FrankRuehl" w:hAnsi="FrankRuehl" w:cs="FrankRuehl"/>
          <w:b/>
          <w:bCs/>
          <w:sz w:val="28"/>
          <w:szCs w:val="28"/>
          <w:u w:val="single"/>
          <w:rtl/>
        </w:rPr>
        <w:t>תת-ניצב מוריס חן, ראש חטיבת אבטחה ורישוי במשטרת ישראל בעת האסון</w:t>
      </w:r>
    </w:p>
    <w:p w:rsidR="00D51E3D" w:rsidRPr="00664D75" w:rsidRDefault="00D51E3D" w:rsidP="00D51E3D">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Style w:val="a3"/>
          <w:rFonts w:ascii="FrankRuehl" w:hAnsi="FrankRuehl" w:cs="FrankRuehl"/>
          <w:i w:val="0"/>
          <w:iCs w:val="0"/>
          <w:sz w:val="24"/>
          <w:szCs w:val="24"/>
          <w:rtl/>
        </w:rPr>
      </w:pPr>
      <w:r w:rsidRPr="00664D75">
        <w:rPr>
          <w:rStyle w:val="a3"/>
          <w:rFonts w:ascii="FrankRuehl" w:hAnsi="FrankRuehl" w:cs="FrankRuehl"/>
          <w:sz w:val="24"/>
          <w:szCs w:val="24"/>
          <w:rtl/>
        </w:rPr>
        <w:t>הוועדה הטילה על חן אחריות אישית והמליצה כי הממצאים והמסקנות בעניינו של חן יובאו בחשבון בכל דיון על קידום בדרגה או על שיבוץ לתפקידים בהמשך שירותו במשטרה.</w:t>
      </w:r>
    </w:p>
    <w:p w:rsidR="00D51E3D" w:rsidRDefault="00D51E3D" w:rsidP="00D51E3D">
      <w:pPr>
        <w:spacing w:line="360" w:lineRule="auto"/>
        <w:jc w:val="both"/>
        <w:rPr>
          <w:rFonts w:ascii="FrankRuehl" w:hAnsi="FrankRuehl" w:cs="FrankRuehl"/>
          <w:b/>
          <w:bCs/>
          <w:sz w:val="28"/>
          <w:szCs w:val="28"/>
          <w:u w:val="single"/>
          <w:rtl/>
        </w:rPr>
      </w:pPr>
    </w:p>
    <w:p w:rsidR="00D51E3D" w:rsidRPr="00664D75" w:rsidRDefault="00D51E3D" w:rsidP="00D51E3D">
      <w:pPr>
        <w:spacing w:line="360" w:lineRule="auto"/>
        <w:jc w:val="both"/>
        <w:rPr>
          <w:rFonts w:ascii="FrankRuehl" w:hAnsi="FrankRuehl" w:cs="FrankRuehl"/>
          <w:b/>
          <w:bCs/>
          <w:sz w:val="28"/>
          <w:szCs w:val="28"/>
          <w:u w:val="single"/>
          <w:rtl/>
        </w:rPr>
      </w:pPr>
      <w:r w:rsidRPr="00664D75">
        <w:rPr>
          <w:rFonts w:ascii="FrankRuehl" w:hAnsi="FrankRuehl" w:cs="FrankRuehl"/>
          <w:b/>
          <w:bCs/>
          <w:sz w:val="28"/>
          <w:szCs w:val="28"/>
          <w:u w:val="single"/>
          <w:rtl/>
        </w:rPr>
        <w:t>סגן-ניצב אסף מנצור, מפקד תחנת נוף הגליל במשטרת ישראל בעת האסון</w:t>
      </w:r>
    </w:p>
    <w:p w:rsidR="00D51E3D" w:rsidRDefault="00D51E3D" w:rsidP="00D51E3D">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Style w:val="a3"/>
          <w:rFonts w:ascii="FrankRuehl" w:hAnsi="FrankRuehl" w:cs="FrankRuehl"/>
          <w:i w:val="0"/>
          <w:iCs w:val="0"/>
          <w:sz w:val="24"/>
          <w:szCs w:val="24"/>
          <w:rtl/>
        </w:rPr>
      </w:pPr>
      <w:r w:rsidRPr="00664D75">
        <w:rPr>
          <w:rStyle w:val="a3"/>
          <w:rFonts w:ascii="FrankRuehl" w:hAnsi="FrankRuehl" w:cs="FrankRuehl"/>
          <w:sz w:val="24"/>
          <w:szCs w:val="24"/>
          <w:rtl/>
        </w:rPr>
        <w:t>הוועדה הטילה על מנצור אחריות אישית, וציינה כי לכאורה הממצאים בעניינו היו מובילים להמלצה על סיום כהונתו בתפקיד מפקד תחנת נוף הגליל, אולם המלצה זו התייתרה לאור פרישתו של מנצור מהמשטרה.</w:t>
      </w:r>
    </w:p>
    <w:p w:rsidR="00D51E3D" w:rsidRPr="00664D75" w:rsidRDefault="00D51E3D" w:rsidP="00D51E3D">
      <w:pPr>
        <w:spacing w:line="360" w:lineRule="auto"/>
        <w:jc w:val="both"/>
        <w:rPr>
          <w:rStyle w:val="a3"/>
          <w:rFonts w:ascii="FrankRuehl" w:hAnsi="FrankRuehl" w:cs="FrankRuehl"/>
          <w:i w:val="0"/>
          <w:iCs w:val="0"/>
          <w:sz w:val="24"/>
          <w:szCs w:val="24"/>
          <w:rtl/>
        </w:rPr>
      </w:pPr>
    </w:p>
    <w:p w:rsidR="00D51E3D" w:rsidRPr="00664D75" w:rsidRDefault="00D51E3D" w:rsidP="00D51E3D">
      <w:pPr>
        <w:spacing w:line="360" w:lineRule="auto"/>
        <w:jc w:val="both"/>
        <w:rPr>
          <w:rFonts w:ascii="FrankRuehl" w:hAnsi="FrankRuehl" w:cs="FrankRuehl"/>
          <w:b/>
          <w:bCs/>
          <w:sz w:val="28"/>
          <w:szCs w:val="28"/>
          <w:u w:val="single"/>
          <w:rtl/>
        </w:rPr>
      </w:pPr>
      <w:r w:rsidRPr="00664D75">
        <w:rPr>
          <w:rFonts w:ascii="FrankRuehl" w:hAnsi="FrankRuehl" w:cs="FrankRuehl"/>
          <w:b/>
          <w:bCs/>
          <w:sz w:val="28"/>
          <w:szCs w:val="28"/>
          <w:u w:val="single"/>
          <w:rtl/>
        </w:rPr>
        <w:t xml:space="preserve">רב-פקד שמואל פיאמנטה, ראש ענף אבטחה ורישוי במחוז צפון במשטרת ישראל </w:t>
      </w:r>
    </w:p>
    <w:p w:rsidR="00D51E3D" w:rsidRPr="00664D75" w:rsidRDefault="00D51E3D" w:rsidP="00D51E3D">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Style w:val="a3"/>
          <w:rFonts w:ascii="FrankRuehl" w:hAnsi="FrankRuehl" w:cs="FrankRuehl"/>
          <w:i w:val="0"/>
          <w:iCs w:val="0"/>
          <w:sz w:val="24"/>
          <w:szCs w:val="24"/>
          <w:rtl/>
        </w:rPr>
      </w:pPr>
      <w:r w:rsidRPr="00664D75">
        <w:rPr>
          <w:rStyle w:val="a3"/>
          <w:rFonts w:ascii="FrankRuehl" w:hAnsi="FrankRuehl" w:cs="FrankRuehl"/>
          <w:sz w:val="24"/>
          <w:szCs w:val="24"/>
          <w:rtl/>
        </w:rPr>
        <w:t>הוועדה הטילה על פיאמנטה אחריות אישית וסברה כי הממצאים בעניינו חמורים במיוחד. הוועדה המליצה כי פיאמנטה יסיים את תפקידו במשטרה, וכי הוא לא יועסק בשום תפקיד הנוגע להילולה או למתחם מירון. כמו כן המליצה הוועדה כי היועצת המשפטית לממשלה תידרש לממצאים שנוגעים להתנהלות שקשורה ברישוי האירוע וכיצד להמשיך בדיקה או חקירה בעניינם.</w:t>
      </w:r>
    </w:p>
    <w:p w:rsidR="00D51E3D" w:rsidRPr="00664D75" w:rsidRDefault="00D51E3D" w:rsidP="00D51E3D">
      <w:pPr>
        <w:spacing w:line="360" w:lineRule="auto"/>
        <w:jc w:val="both"/>
        <w:rPr>
          <w:rFonts w:ascii="FrankRuehl" w:hAnsi="FrankRuehl" w:cs="FrankRuehl"/>
          <w:b/>
          <w:bCs/>
          <w:sz w:val="24"/>
          <w:szCs w:val="24"/>
          <w:rtl/>
        </w:rPr>
      </w:pPr>
    </w:p>
    <w:p w:rsidR="00D51E3D" w:rsidRPr="00664D75" w:rsidRDefault="00D51E3D" w:rsidP="00D51E3D">
      <w:pPr>
        <w:spacing w:line="360" w:lineRule="auto"/>
        <w:jc w:val="both"/>
        <w:rPr>
          <w:rFonts w:ascii="FrankRuehl" w:hAnsi="FrankRuehl" w:cs="FrankRuehl"/>
          <w:b/>
          <w:bCs/>
          <w:sz w:val="28"/>
          <w:szCs w:val="28"/>
          <w:u w:val="single"/>
          <w:rtl/>
        </w:rPr>
      </w:pPr>
      <w:r w:rsidRPr="00664D75">
        <w:rPr>
          <w:rFonts w:ascii="FrankRuehl" w:hAnsi="FrankRuehl" w:cs="FrankRuehl"/>
          <w:b/>
          <w:bCs/>
          <w:sz w:val="28"/>
          <w:szCs w:val="28"/>
          <w:u w:val="single"/>
          <w:rtl/>
        </w:rPr>
        <w:t>פקד אסף שייך, קצין מודיעין ובילוש של תחנת נוף הגליל בעת האסון</w:t>
      </w:r>
    </w:p>
    <w:p w:rsidR="00D51E3D" w:rsidRPr="00664D75" w:rsidRDefault="00D51E3D" w:rsidP="00D51E3D">
      <w:pPr>
        <w:pStyle w:val="a4"/>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FrankRuehl" w:eastAsiaTheme="minorHAnsi" w:hAnsi="FrankRuehl" w:cs="FrankRuehl"/>
          <w:color w:val="auto"/>
          <w:spacing w:val="0"/>
          <w:sz w:val="24"/>
          <w:szCs w:val="24"/>
          <w:rtl/>
        </w:rPr>
      </w:pPr>
      <w:r w:rsidRPr="00664D75">
        <w:rPr>
          <w:rFonts w:ascii="FrankRuehl" w:eastAsiaTheme="minorHAnsi" w:hAnsi="FrankRuehl" w:cs="FrankRuehl"/>
          <w:color w:val="auto"/>
          <w:spacing w:val="0"/>
          <w:sz w:val="24"/>
          <w:szCs w:val="24"/>
          <w:rtl/>
        </w:rPr>
        <w:t xml:space="preserve">הוועדה הטילה על שייך אחריות אישית. שייך קודם בינתיים לדרגת רפ"ק והוועדה המליצה כי הוא לא יקודם בדרגה או בתפקיד במשך 4 שנים ממועד הגשת הדו"ח וכי בכל החלטה על קידום בדרגה או בתפקיד לאחר פרק הזמן האמור יובאו בחשבון הממצאים והמסקנות שפורטו בעניינו. </w:t>
      </w:r>
    </w:p>
    <w:p w:rsidR="00D51E3D" w:rsidRDefault="00D51E3D" w:rsidP="00D51E3D">
      <w:pPr>
        <w:spacing w:line="360" w:lineRule="auto"/>
        <w:jc w:val="both"/>
        <w:rPr>
          <w:rFonts w:ascii="FrankRuehl" w:hAnsi="FrankRuehl" w:cs="FrankRuehl"/>
          <w:b/>
          <w:bCs/>
          <w:sz w:val="24"/>
          <w:szCs w:val="24"/>
          <w:rtl/>
        </w:rPr>
      </w:pPr>
    </w:p>
    <w:p w:rsidR="00584739" w:rsidRDefault="00584739" w:rsidP="00D51E3D">
      <w:pPr>
        <w:spacing w:line="360" w:lineRule="auto"/>
        <w:jc w:val="both"/>
        <w:rPr>
          <w:rFonts w:ascii="FrankRuehl" w:hAnsi="FrankRuehl" w:cs="FrankRuehl"/>
          <w:b/>
          <w:bCs/>
          <w:sz w:val="28"/>
          <w:szCs w:val="28"/>
          <w:u w:val="single"/>
          <w:rtl/>
        </w:rPr>
      </w:pPr>
    </w:p>
    <w:p w:rsidR="00584739" w:rsidRDefault="00584739" w:rsidP="00D51E3D">
      <w:pPr>
        <w:spacing w:line="360" w:lineRule="auto"/>
        <w:jc w:val="both"/>
        <w:rPr>
          <w:rFonts w:ascii="FrankRuehl" w:hAnsi="FrankRuehl" w:cs="FrankRuehl"/>
          <w:b/>
          <w:bCs/>
          <w:sz w:val="28"/>
          <w:szCs w:val="28"/>
          <w:u w:val="single"/>
          <w:rtl/>
        </w:rPr>
      </w:pPr>
    </w:p>
    <w:p w:rsidR="00D51E3D" w:rsidRPr="00664D75" w:rsidRDefault="00D51E3D" w:rsidP="00D51E3D">
      <w:pPr>
        <w:spacing w:line="360" w:lineRule="auto"/>
        <w:jc w:val="both"/>
        <w:rPr>
          <w:rFonts w:ascii="FrankRuehl" w:hAnsi="FrankRuehl" w:cs="FrankRuehl"/>
          <w:b/>
          <w:bCs/>
          <w:sz w:val="28"/>
          <w:szCs w:val="28"/>
          <w:u w:val="single"/>
          <w:rtl/>
        </w:rPr>
      </w:pPr>
      <w:bookmarkStart w:id="0" w:name="_GoBack"/>
      <w:bookmarkEnd w:id="0"/>
      <w:r w:rsidRPr="00664D75">
        <w:rPr>
          <w:rFonts w:ascii="FrankRuehl" w:hAnsi="FrankRuehl" w:cs="FrankRuehl"/>
          <w:b/>
          <w:bCs/>
          <w:sz w:val="28"/>
          <w:szCs w:val="28"/>
          <w:u w:val="single"/>
          <w:rtl/>
        </w:rPr>
        <w:lastRenderedPageBreak/>
        <w:t>עמית סופר, ראש המועצה האזורית מרום הגליל</w:t>
      </w:r>
    </w:p>
    <w:p w:rsidR="00D51E3D" w:rsidRPr="00664D75" w:rsidRDefault="00D51E3D" w:rsidP="00D51E3D">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Style w:val="a3"/>
          <w:rFonts w:ascii="FrankRuehl" w:hAnsi="FrankRuehl" w:cs="FrankRuehl"/>
          <w:i w:val="0"/>
          <w:iCs w:val="0"/>
          <w:sz w:val="24"/>
          <w:szCs w:val="24"/>
          <w:rtl/>
        </w:rPr>
      </w:pPr>
      <w:r w:rsidRPr="00664D75">
        <w:rPr>
          <w:rStyle w:val="a3"/>
          <w:rFonts w:ascii="FrankRuehl" w:hAnsi="FrankRuehl" w:cs="FrankRuehl"/>
          <w:sz w:val="24"/>
          <w:szCs w:val="24"/>
          <w:rtl/>
        </w:rPr>
        <w:t>הוועדה הטילה על סופר אחריות אישית וסברה כי הממצאים בעניינו חמורים במיוחד. מאחר שמדובר בנבחר ציבור, החליטה הוועדה שלא להמליץ המלצה אופרטיבית בעניינו ולהשאיר את העניין לצו מצפונו ולמבחן הציבור.</w:t>
      </w:r>
    </w:p>
    <w:p w:rsidR="00D51E3D" w:rsidRDefault="00D51E3D" w:rsidP="00D51E3D">
      <w:pPr>
        <w:spacing w:line="360" w:lineRule="auto"/>
        <w:jc w:val="both"/>
        <w:rPr>
          <w:rFonts w:ascii="FrankRuehl" w:hAnsi="FrankRuehl" w:cs="FrankRuehl"/>
          <w:b/>
          <w:bCs/>
          <w:sz w:val="28"/>
          <w:szCs w:val="28"/>
          <w:u w:val="single"/>
          <w:rtl/>
        </w:rPr>
      </w:pPr>
    </w:p>
    <w:p w:rsidR="00D51E3D" w:rsidRPr="00664D75" w:rsidRDefault="00D51E3D" w:rsidP="00D51E3D">
      <w:pPr>
        <w:spacing w:line="360" w:lineRule="auto"/>
        <w:jc w:val="both"/>
        <w:rPr>
          <w:rFonts w:ascii="FrankRuehl" w:hAnsi="FrankRuehl" w:cs="FrankRuehl"/>
          <w:b/>
          <w:bCs/>
          <w:sz w:val="28"/>
          <w:szCs w:val="28"/>
          <w:u w:val="single"/>
          <w:rtl/>
        </w:rPr>
      </w:pPr>
      <w:r w:rsidRPr="00664D75">
        <w:rPr>
          <w:rFonts w:ascii="FrankRuehl" w:hAnsi="FrankRuehl" w:cs="FrankRuehl"/>
          <w:b/>
          <w:bCs/>
          <w:sz w:val="28"/>
          <w:szCs w:val="28"/>
          <w:u w:val="single"/>
          <w:rtl/>
        </w:rPr>
        <w:t>מר עודד פלוס, מנכ"ל המשרד לשירותי דת בעת האסון</w:t>
      </w:r>
    </w:p>
    <w:p w:rsidR="00D51E3D" w:rsidRPr="00664D75" w:rsidRDefault="00D51E3D" w:rsidP="00D51E3D">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Style w:val="a3"/>
          <w:rFonts w:ascii="FrankRuehl" w:hAnsi="FrankRuehl" w:cs="FrankRuehl"/>
          <w:i w:val="0"/>
          <w:iCs w:val="0"/>
          <w:sz w:val="24"/>
          <w:szCs w:val="24"/>
          <w:rtl/>
        </w:rPr>
      </w:pPr>
      <w:r w:rsidRPr="00664D75">
        <w:rPr>
          <w:rStyle w:val="a3"/>
          <w:rFonts w:ascii="FrankRuehl" w:hAnsi="FrankRuehl" w:cs="FrankRuehl"/>
          <w:sz w:val="24"/>
          <w:szCs w:val="24"/>
          <w:rtl/>
        </w:rPr>
        <w:t xml:space="preserve">בשים לב למכלול הנסיבות וכן לאיזון הראוי בין הצעדים שנקט פלוס בנוגע למרכז, ושהביאו לשיפור, לפער שנותר, ובהתאם לגישה שבמקום שבו נותר ספק ממשי בעניין שעלול להוביל לפגיעה בלתי מוצדקת במוזהר יפעל הספק לטובתו, החליטה הוועדה </w:t>
      </w:r>
      <w:r w:rsidRPr="00664D75">
        <w:rPr>
          <w:rStyle w:val="a3"/>
          <w:rFonts w:ascii="FrankRuehl" w:hAnsi="FrankRuehl" w:cs="FrankRuehl"/>
          <w:b/>
          <w:bCs/>
          <w:sz w:val="24"/>
          <w:szCs w:val="24"/>
          <w:rtl/>
        </w:rPr>
        <w:t>שלא להטיל על פלוס אחריות אישית.</w:t>
      </w:r>
    </w:p>
    <w:p w:rsidR="00D51E3D" w:rsidRDefault="00D51E3D" w:rsidP="00D51E3D">
      <w:pPr>
        <w:spacing w:line="360" w:lineRule="auto"/>
        <w:jc w:val="both"/>
        <w:rPr>
          <w:rFonts w:ascii="FrankRuehl" w:hAnsi="FrankRuehl" w:cs="FrankRuehl"/>
          <w:b/>
          <w:bCs/>
          <w:sz w:val="28"/>
          <w:szCs w:val="28"/>
          <w:u w:val="single"/>
          <w:rtl/>
        </w:rPr>
      </w:pPr>
    </w:p>
    <w:p w:rsidR="00D51E3D" w:rsidRPr="00664D75" w:rsidRDefault="00D51E3D" w:rsidP="00D51E3D">
      <w:pPr>
        <w:spacing w:line="360" w:lineRule="auto"/>
        <w:jc w:val="both"/>
        <w:rPr>
          <w:rFonts w:ascii="FrankRuehl" w:hAnsi="FrankRuehl" w:cs="FrankRuehl"/>
          <w:b/>
          <w:bCs/>
          <w:sz w:val="28"/>
          <w:szCs w:val="28"/>
          <w:u w:val="single"/>
          <w:rtl/>
        </w:rPr>
      </w:pPr>
      <w:r w:rsidRPr="00664D75">
        <w:rPr>
          <w:rFonts w:ascii="FrankRuehl" w:hAnsi="FrankRuehl" w:cs="FrankRuehl"/>
          <w:b/>
          <w:bCs/>
          <w:sz w:val="28"/>
          <w:szCs w:val="28"/>
          <w:u w:val="single"/>
          <w:rtl/>
        </w:rPr>
        <w:t>הרב יוסף שוינגר, מנכ"ל המרכז הארצי לפיתוח המקומות הקדושים</w:t>
      </w:r>
    </w:p>
    <w:p w:rsidR="00D51E3D" w:rsidRPr="00664D75" w:rsidRDefault="00D51E3D" w:rsidP="00D51E3D">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Style w:val="a3"/>
          <w:rFonts w:ascii="FrankRuehl" w:hAnsi="FrankRuehl" w:cs="FrankRuehl"/>
          <w:i w:val="0"/>
          <w:iCs w:val="0"/>
          <w:sz w:val="24"/>
          <w:szCs w:val="24"/>
          <w:rtl/>
        </w:rPr>
      </w:pPr>
      <w:r w:rsidRPr="00664D75">
        <w:rPr>
          <w:rStyle w:val="a3"/>
          <w:rFonts w:ascii="FrankRuehl" w:hAnsi="FrankRuehl" w:cs="FrankRuehl"/>
          <w:sz w:val="24"/>
          <w:szCs w:val="24"/>
          <w:rtl/>
        </w:rPr>
        <w:t>הוועדה הטילה על שוינגר אחריות אישית וסברה כי הממצאים בעניינו חמורים במיוחד. הוועדה המליצה כי שוינגר יסיים מייד את כהונתו בתפקיד מנהל המרכז הארצי לפיתוח המקומות הקדושים וכי הוא לא יועסק בשום תפקיד הנוגע להילולה או למתחם מירון.</w:t>
      </w:r>
    </w:p>
    <w:p w:rsidR="00D51E3D" w:rsidRDefault="00D51E3D" w:rsidP="00D51E3D">
      <w:pPr>
        <w:spacing w:line="360" w:lineRule="auto"/>
        <w:jc w:val="both"/>
        <w:rPr>
          <w:rFonts w:ascii="FrankRuehl" w:hAnsi="FrankRuehl" w:cs="FrankRuehl"/>
          <w:b/>
          <w:bCs/>
          <w:sz w:val="28"/>
          <w:szCs w:val="28"/>
          <w:u w:val="single"/>
          <w:rtl/>
        </w:rPr>
      </w:pPr>
    </w:p>
    <w:p w:rsidR="00D51E3D" w:rsidRPr="00664D75" w:rsidRDefault="00D51E3D" w:rsidP="00D51E3D">
      <w:pPr>
        <w:spacing w:line="360" w:lineRule="auto"/>
        <w:jc w:val="both"/>
        <w:rPr>
          <w:rFonts w:ascii="FrankRuehl" w:hAnsi="FrankRuehl" w:cs="FrankRuehl"/>
          <w:b/>
          <w:bCs/>
          <w:sz w:val="28"/>
          <w:szCs w:val="28"/>
          <w:u w:val="single"/>
          <w:rtl/>
        </w:rPr>
      </w:pPr>
      <w:r w:rsidRPr="00664D75">
        <w:rPr>
          <w:rFonts w:ascii="FrankRuehl" w:hAnsi="FrankRuehl" w:cs="FrankRuehl"/>
          <w:b/>
          <w:bCs/>
          <w:sz w:val="28"/>
          <w:szCs w:val="28"/>
          <w:u w:val="single"/>
          <w:rtl/>
        </w:rPr>
        <w:t>הרב שמואל רבינוביץ, יו"ר ועדת החמישה</w:t>
      </w:r>
    </w:p>
    <w:p w:rsidR="00D51E3D" w:rsidRPr="00664D75" w:rsidRDefault="00D51E3D" w:rsidP="00D51E3D">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Style w:val="a3"/>
          <w:rFonts w:ascii="FrankRuehl" w:hAnsi="FrankRuehl" w:cs="FrankRuehl"/>
          <w:i w:val="0"/>
          <w:iCs w:val="0"/>
          <w:sz w:val="24"/>
          <w:szCs w:val="24"/>
          <w:rtl/>
        </w:rPr>
      </w:pPr>
      <w:r w:rsidRPr="00664D75">
        <w:rPr>
          <w:rStyle w:val="a3"/>
          <w:rFonts w:ascii="FrankRuehl" w:hAnsi="FrankRuehl" w:cs="FrankRuehl"/>
          <w:sz w:val="24"/>
          <w:szCs w:val="24"/>
          <w:rtl/>
        </w:rPr>
        <w:t>בשים לב למכלול הנסיבות שבהן פעל, ולפעולות שהרב רבינוביץ נקט לשיפור המצב, ובהתאם לגישה שבמקום שבו נותר ספק ממשי בעניין שעלול להוביל לפגיעה בלתי מוצדקת במוזהר יפעל הספק לטובתו, החליטה הוועדה שלא להטיל על רבינוביץ אחריות אישית.</w:t>
      </w:r>
    </w:p>
    <w:p w:rsidR="00D51E3D" w:rsidRDefault="00D51E3D" w:rsidP="00D51E3D">
      <w:pPr>
        <w:spacing w:line="360" w:lineRule="auto"/>
        <w:jc w:val="both"/>
        <w:rPr>
          <w:rFonts w:ascii="FrankRuehl" w:hAnsi="FrankRuehl" w:cs="FrankRuehl"/>
          <w:b/>
          <w:bCs/>
          <w:sz w:val="28"/>
          <w:szCs w:val="28"/>
          <w:u w:val="single"/>
          <w:rtl/>
        </w:rPr>
      </w:pPr>
    </w:p>
    <w:p w:rsidR="00D51E3D" w:rsidRPr="00664D75" w:rsidRDefault="00D51E3D" w:rsidP="00D51E3D">
      <w:pPr>
        <w:spacing w:line="360" w:lineRule="auto"/>
        <w:jc w:val="both"/>
        <w:rPr>
          <w:rFonts w:ascii="FrankRuehl" w:hAnsi="FrankRuehl" w:cs="FrankRuehl"/>
          <w:b/>
          <w:bCs/>
          <w:sz w:val="28"/>
          <w:szCs w:val="28"/>
          <w:u w:val="single"/>
          <w:rtl/>
        </w:rPr>
      </w:pPr>
      <w:r w:rsidRPr="00664D75">
        <w:rPr>
          <w:rFonts w:ascii="FrankRuehl" w:hAnsi="FrankRuehl" w:cs="FrankRuehl"/>
          <w:b/>
          <w:bCs/>
          <w:sz w:val="28"/>
          <w:szCs w:val="28"/>
          <w:u w:val="single"/>
          <w:rtl/>
        </w:rPr>
        <w:t>אינג' עאמר ח'ליליה, מהנדס הבטיחות של הילולת תשפ"א</w:t>
      </w:r>
    </w:p>
    <w:p w:rsidR="00D51E3D" w:rsidRPr="00664D75" w:rsidRDefault="00D51E3D" w:rsidP="00D51E3D">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Style w:val="a3"/>
          <w:rFonts w:ascii="FrankRuehl" w:hAnsi="FrankRuehl" w:cs="FrankRuehl"/>
          <w:i w:val="0"/>
          <w:iCs w:val="0"/>
          <w:sz w:val="24"/>
          <w:szCs w:val="24"/>
          <w:rtl/>
        </w:rPr>
      </w:pPr>
      <w:r w:rsidRPr="00664D75">
        <w:rPr>
          <w:rStyle w:val="a3"/>
          <w:rFonts w:ascii="FrankRuehl" w:hAnsi="FrankRuehl" w:cs="FrankRuehl"/>
          <w:sz w:val="24"/>
          <w:szCs w:val="24"/>
          <w:rtl/>
        </w:rPr>
        <w:t>הוועדה הטילה על ח'ליליה אחריות אישית, וסברה כי הממצאים בעניינו חמורים במיוחד. הוועדה המליצה כי הוא לא יוכל למלא בעתיד תפקיד של מהנדס בטיחות או יועץ בטיחות, כי רשם המהנדסים והאדריכלים יבחן את המשך זכאותו לרישוי מהנדס, וכי היועצת המשפטית לממשלה תידרש לממצאים הנוגעים אליו ולשאלת חידוש החקירה הפלילית בעניינו.</w:t>
      </w:r>
    </w:p>
    <w:p w:rsidR="00D51E3D" w:rsidRDefault="00D51E3D" w:rsidP="00D51E3D">
      <w:pPr>
        <w:spacing w:line="360" w:lineRule="auto"/>
        <w:jc w:val="both"/>
        <w:rPr>
          <w:rFonts w:ascii="FrankRuehl" w:hAnsi="FrankRuehl" w:cs="FrankRuehl"/>
          <w:b/>
          <w:bCs/>
          <w:sz w:val="28"/>
          <w:szCs w:val="28"/>
          <w:u w:val="single"/>
          <w:rtl/>
        </w:rPr>
      </w:pPr>
    </w:p>
    <w:p w:rsidR="00D51E3D" w:rsidRPr="00664D75" w:rsidRDefault="00D51E3D" w:rsidP="00D51E3D">
      <w:pPr>
        <w:spacing w:line="360" w:lineRule="auto"/>
        <w:jc w:val="both"/>
        <w:rPr>
          <w:rFonts w:ascii="FrankRuehl" w:hAnsi="FrankRuehl" w:cs="FrankRuehl"/>
          <w:b/>
          <w:bCs/>
          <w:sz w:val="28"/>
          <w:szCs w:val="28"/>
          <w:u w:val="single"/>
          <w:rtl/>
        </w:rPr>
      </w:pPr>
      <w:r w:rsidRPr="00664D75">
        <w:rPr>
          <w:rFonts w:ascii="FrankRuehl" w:hAnsi="FrankRuehl" w:cs="FrankRuehl"/>
          <w:b/>
          <w:bCs/>
          <w:sz w:val="28"/>
          <w:szCs w:val="28"/>
          <w:u w:val="single"/>
          <w:rtl/>
        </w:rPr>
        <w:t>ראובן בן גל, מנהל האבטחה הראשי של הילולת תשפ"א</w:t>
      </w:r>
    </w:p>
    <w:p w:rsidR="00584739" w:rsidRDefault="00584739" w:rsidP="00D51E3D">
      <w:pPr>
        <w:spacing w:line="360" w:lineRule="auto"/>
        <w:jc w:val="both"/>
        <w:rPr>
          <w:rFonts w:ascii="FrankRuehl" w:hAnsi="FrankRuehl" w:cs="FrankRuehl"/>
          <w:sz w:val="24"/>
          <w:szCs w:val="24"/>
          <w:rtl/>
        </w:rPr>
      </w:pPr>
    </w:p>
    <w:p w:rsidR="00D51E3D" w:rsidRPr="00664D75" w:rsidRDefault="00D51E3D" w:rsidP="00D51E3D">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Style w:val="a3"/>
          <w:rFonts w:ascii="FrankRuehl" w:hAnsi="FrankRuehl" w:cs="FrankRuehl"/>
          <w:i w:val="0"/>
          <w:iCs w:val="0"/>
          <w:sz w:val="24"/>
          <w:szCs w:val="24"/>
          <w:rtl/>
        </w:rPr>
      </w:pPr>
      <w:r w:rsidRPr="00664D75">
        <w:rPr>
          <w:rStyle w:val="a3"/>
          <w:rFonts w:ascii="FrankRuehl" w:hAnsi="FrankRuehl" w:cs="FrankRuehl"/>
          <w:sz w:val="24"/>
          <w:szCs w:val="24"/>
          <w:rtl/>
        </w:rPr>
        <w:t>הוועדה הטילה על בן גל אחריות אישית, והמליצה כי הוא לא יוכל למלא בעתיד תפקיד של מנהל אבטחה באירועים המוניים. בנוסף, המליצה כי היועצת המשפטית לממשלה תידרש לממצאים בעניין האבטחה האזרחית ותשקול כיצד להמשיך בדיקה או חקירה בעניינם.</w:t>
      </w:r>
    </w:p>
    <w:p w:rsidR="00D51E3D" w:rsidRDefault="00D51E3D" w:rsidP="00D51E3D">
      <w:pPr>
        <w:spacing w:line="360" w:lineRule="auto"/>
        <w:jc w:val="both"/>
        <w:rPr>
          <w:rFonts w:ascii="FrankRuehl" w:hAnsi="FrankRuehl" w:cs="FrankRuehl"/>
          <w:b/>
          <w:bCs/>
          <w:sz w:val="28"/>
          <w:szCs w:val="28"/>
          <w:u w:val="single"/>
          <w:rtl/>
        </w:rPr>
      </w:pPr>
    </w:p>
    <w:p w:rsidR="00D51E3D" w:rsidRPr="00664D75" w:rsidRDefault="00D51E3D" w:rsidP="00D51E3D">
      <w:pPr>
        <w:spacing w:line="360" w:lineRule="auto"/>
        <w:jc w:val="both"/>
        <w:rPr>
          <w:rFonts w:ascii="FrankRuehl" w:hAnsi="FrankRuehl" w:cs="FrankRuehl"/>
          <w:b/>
          <w:bCs/>
          <w:sz w:val="28"/>
          <w:szCs w:val="28"/>
          <w:u w:val="single"/>
          <w:rtl/>
        </w:rPr>
      </w:pPr>
      <w:r w:rsidRPr="00664D75">
        <w:rPr>
          <w:rFonts w:ascii="FrankRuehl" w:hAnsi="FrankRuehl" w:cs="FrankRuehl"/>
          <w:b/>
          <w:bCs/>
          <w:sz w:val="28"/>
          <w:szCs w:val="28"/>
          <w:u w:val="single"/>
          <w:rtl/>
        </w:rPr>
        <w:t>שמעון מלכה, מנהל אבטחה בהילולת תשפ"א</w:t>
      </w:r>
    </w:p>
    <w:p w:rsidR="00D51E3D" w:rsidRPr="00664D75" w:rsidRDefault="00D51E3D" w:rsidP="00D51E3D">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Fonts w:ascii="FrankRuehl" w:hAnsi="FrankRuehl" w:cs="FrankRuehl"/>
          <w:sz w:val="24"/>
          <w:szCs w:val="24"/>
          <w:rtl/>
        </w:rPr>
      </w:pPr>
      <w:r w:rsidRPr="00664D75">
        <w:rPr>
          <w:rFonts w:ascii="FrankRuehl" w:hAnsi="FrankRuehl" w:cs="FrankRuehl"/>
          <w:sz w:val="24"/>
          <w:szCs w:val="24"/>
          <w:rtl/>
        </w:rPr>
        <w:t>הוועדה הטילה על מלכה אחריות אישית, והמליצה כי הוא לא יוכל למלא בעתיד תפקיד של מנהל אבטחה באירועים המוניים. בנוסף, המליצה כי היועצת המשפטית לממשלה תידרש לממצאים בעניין האבטחה האזרחית ותשקול כיצד להמשיך בדיקה או חקירה בעניינם.</w:t>
      </w:r>
    </w:p>
    <w:p w:rsidR="00D51E3D" w:rsidRDefault="00D51E3D" w:rsidP="00D51E3D">
      <w:pPr>
        <w:spacing w:line="360" w:lineRule="auto"/>
        <w:jc w:val="both"/>
        <w:rPr>
          <w:rFonts w:ascii="FrankRuehl" w:hAnsi="FrankRuehl" w:cs="FrankRuehl"/>
          <w:b/>
          <w:bCs/>
          <w:sz w:val="24"/>
          <w:szCs w:val="24"/>
          <w:rtl/>
        </w:rPr>
      </w:pPr>
    </w:p>
    <w:p w:rsidR="00D51E3D" w:rsidRPr="00664D75" w:rsidRDefault="00D51E3D" w:rsidP="00D51E3D">
      <w:pPr>
        <w:spacing w:line="360" w:lineRule="auto"/>
        <w:jc w:val="both"/>
        <w:rPr>
          <w:rFonts w:ascii="FrankRuehl" w:hAnsi="FrankRuehl" w:cs="FrankRuehl"/>
          <w:b/>
          <w:bCs/>
          <w:sz w:val="28"/>
          <w:szCs w:val="28"/>
          <w:u w:val="single"/>
          <w:rtl/>
        </w:rPr>
      </w:pPr>
      <w:r w:rsidRPr="00664D75">
        <w:rPr>
          <w:rFonts w:ascii="FrankRuehl" w:hAnsi="FrankRuehl" w:cs="FrankRuehl"/>
          <w:b/>
          <w:bCs/>
          <w:sz w:val="28"/>
          <w:szCs w:val="28"/>
          <w:u w:val="single"/>
          <w:rtl/>
        </w:rPr>
        <w:t>מר מאיר קרליבך, מנהל בפועל של פעילות עמותת "הכנסת אורחים"</w:t>
      </w:r>
    </w:p>
    <w:p w:rsidR="00D51E3D" w:rsidRDefault="00D51E3D" w:rsidP="00D51E3D">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Style w:val="a3"/>
          <w:rFonts w:ascii="FrankRuehl" w:hAnsi="FrankRuehl" w:cs="FrankRuehl"/>
          <w:i w:val="0"/>
          <w:iCs w:val="0"/>
          <w:sz w:val="24"/>
          <w:szCs w:val="24"/>
          <w:rtl/>
        </w:rPr>
      </w:pPr>
      <w:r w:rsidRPr="00664D75">
        <w:rPr>
          <w:rStyle w:val="a3"/>
          <w:rFonts w:ascii="FrankRuehl" w:hAnsi="FrankRuehl" w:cs="FrankRuehl"/>
          <w:sz w:val="24"/>
          <w:szCs w:val="24"/>
          <w:rtl/>
        </w:rPr>
        <w:t>הוועדה הטילה על קרליבך אחריות אישית, בתור מנהלה בפועל של עמותת הכנסת אורחים. בהתחשב במצבו הרפואי, ומתוך הנחה שלא יהיה פעיל יותר באתר קבר הרשב"י, לא המליצה הוועדה המלצה אישית בעניינו.</w:t>
      </w:r>
    </w:p>
    <w:p w:rsidR="00D51E3D" w:rsidRPr="00B963DD" w:rsidRDefault="00D51E3D" w:rsidP="00D51E3D">
      <w:pPr>
        <w:rPr>
          <w:rFonts w:ascii="FrankRuehl" w:hAnsi="FrankRuehl" w:cs="FrankRuehl"/>
          <w:sz w:val="24"/>
          <w:szCs w:val="24"/>
          <w:rtl/>
        </w:rPr>
      </w:pPr>
    </w:p>
    <w:p w:rsidR="00D51E3D" w:rsidRPr="00B963DD" w:rsidRDefault="00D51E3D" w:rsidP="00D51E3D">
      <w:pPr>
        <w:rPr>
          <w:rFonts w:ascii="FrankRuehl" w:hAnsi="FrankRuehl" w:cs="FrankRuehl"/>
          <w:sz w:val="24"/>
          <w:szCs w:val="24"/>
          <w:rtl/>
        </w:rPr>
      </w:pPr>
    </w:p>
    <w:p w:rsidR="00D51E3D" w:rsidRPr="00B963DD" w:rsidRDefault="00D51E3D" w:rsidP="00D51E3D">
      <w:pPr>
        <w:rPr>
          <w:rFonts w:ascii="FrankRuehl" w:hAnsi="FrankRuehl" w:cs="FrankRuehl"/>
          <w:sz w:val="24"/>
          <w:szCs w:val="24"/>
          <w:rtl/>
        </w:rPr>
      </w:pPr>
    </w:p>
    <w:p w:rsidR="00D51E3D" w:rsidRDefault="00D51E3D" w:rsidP="00D51E3D">
      <w:pPr>
        <w:rPr>
          <w:rFonts w:ascii="FrankRuehl" w:hAnsi="FrankRuehl" w:cs="FrankRuehl"/>
          <w:sz w:val="24"/>
          <w:szCs w:val="24"/>
          <w:rtl/>
        </w:rPr>
      </w:pPr>
    </w:p>
    <w:p w:rsidR="00D51E3D" w:rsidRPr="00D93DDD" w:rsidRDefault="00D51E3D" w:rsidP="00D51E3D">
      <w:pPr>
        <w:spacing w:after="0" w:line="360" w:lineRule="auto"/>
        <w:ind w:left="4320" w:firstLine="720"/>
        <w:jc w:val="both"/>
        <w:rPr>
          <w:rFonts w:ascii="FrankRuehl" w:hAnsi="FrankRuehl" w:cs="FrankRuehl"/>
          <w:sz w:val="24"/>
          <w:szCs w:val="24"/>
          <w:rtl/>
        </w:rPr>
      </w:pPr>
      <w:r w:rsidRPr="00D93DDD">
        <w:rPr>
          <w:rFonts w:ascii="FrankRuehl" w:hAnsi="FrankRuehl" w:cs="FrankRuehl" w:hint="cs"/>
          <w:sz w:val="24"/>
          <w:szCs w:val="24"/>
          <w:rtl/>
        </w:rPr>
        <w:t>נעמה שחר, עו"ד</w:t>
      </w:r>
    </w:p>
    <w:p w:rsidR="00D51E3D" w:rsidRPr="00D93DDD" w:rsidRDefault="00D51E3D" w:rsidP="00D51E3D">
      <w:pPr>
        <w:spacing w:after="0" w:line="360" w:lineRule="auto"/>
        <w:jc w:val="both"/>
        <w:rPr>
          <w:rFonts w:ascii="FrankRuehl" w:hAnsi="FrankRuehl" w:cs="FrankRuehl"/>
          <w:sz w:val="24"/>
          <w:szCs w:val="24"/>
        </w:rPr>
      </w:pPr>
      <w:r w:rsidRPr="00D93DDD">
        <w:rPr>
          <w:rFonts w:ascii="FrankRuehl" w:hAnsi="FrankRuehl" w:cs="FrankRuehl"/>
          <w:sz w:val="24"/>
          <w:szCs w:val="24"/>
          <w:rtl/>
        </w:rPr>
        <w:tab/>
      </w:r>
      <w:r w:rsidRPr="00D93DDD">
        <w:rPr>
          <w:rFonts w:ascii="FrankRuehl" w:hAnsi="FrankRuehl" w:cs="FrankRuehl"/>
          <w:sz w:val="24"/>
          <w:szCs w:val="24"/>
          <w:rtl/>
        </w:rPr>
        <w:tab/>
      </w:r>
      <w:r w:rsidRPr="00D93DDD">
        <w:rPr>
          <w:rFonts w:ascii="FrankRuehl" w:hAnsi="FrankRuehl" w:cs="FrankRuehl"/>
          <w:sz w:val="24"/>
          <w:szCs w:val="24"/>
          <w:rtl/>
        </w:rPr>
        <w:tab/>
      </w:r>
      <w:r w:rsidRPr="00D93DDD">
        <w:rPr>
          <w:rFonts w:ascii="FrankRuehl" w:hAnsi="FrankRuehl" w:cs="FrankRuehl"/>
          <w:sz w:val="24"/>
          <w:szCs w:val="24"/>
          <w:rtl/>
        </w:rPr>
        <w:tab/>
      </w:r>
      <w:r w:rsidRPr="00D93DDD">
        <w:rPr>
          <w:rFonts w:ascii="FrankRuehl" w:hAnsi="FrankRuehl" w:cs="FrankRuehl"/>
          <w:sz w:val="24"/>
          <w:szCs w:val="24"/>
          <w:rtl/>
        </w:rPr>
        <w:tab/>
      </w:r>
      <w:r w:rsidRPr="00D93DDD">
        <w:rPr>
          <w:rFonts w:ascii="FrankRuehl" w:hAnsi="FrankRuehl" w:cs="FrankRuehl"/>
          <w:sz w:val="24"/>
          <w:szCs w:val="24"/>
          <w:rtl/>
        </w:rPr>
        <w:tab/>
      </w:r>
      <w:r w:rsidRPr="00D93DDD">
        <w:rPr>
          <w:b/>
          <w:bCs/>
          <w:iCs/>
          <w:rtl/>
        </w:rPr>
        <w:tab/>
      </w:r>
      <w:r w:rsidRPr="00D93DDD">
        <w:rPr>
          <w:rFonts w:ascii="FrankRuehl" w:hAnsi="FrankRuehl" w:cs="FrankRuehl" w:hint="cs"/>
          <w:sz w:val="24"/>
          <w:szCs w:val="24"/>
          <w:rtl/>
        </w:rPr>
        <w:t xml:space="preserve">דוברת הוועדה </w:t>
      </w:r>
    </w:p>
    <w:p w:rsidR="00D51E3D" w:rsidRPr="0084063E" w:rsidRDefault="00D51E3D" w:rsidP="00D51E3D">
      <w:pPr>
        <w:ind w:left="5040"/>
        <w:jc w:val="center"/>
        <w:rPr>
          <w:rFonts w:ascii="FrankRuehl" w:hAnsi="FrankRuehl" w:cs="FrankRuehl"/>
          <w:sz w:val="24"/>
          <w:szCs w:val="24"/>
          <w:rtl/>
        </w:rPr>
      </w:pPr>
    </w:p>
    <w:p w:rsidR="009C4D3F" w:rsidRDefault="009C4D3F"/>
    <w:sectPr w:rsidR="009C4D3F" w:rsidSect="00383CC8">
      <w:head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2E9C" w:rsidRDefault="00412E9C">
      <w:pPr>
        <w:spacing w:after="0" w:line="240" w:lineRule="auto"/>
      </w:pPr>
      <w:r>
        <w:separator/>
      </w:r>
    </w:p>
  </w:endnote>
  <w:endnote w:type="continuationSeparator" w:id="0">
    <w:p w:rsidR="00412E9C" w:rsidRDefault="00412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2E9C" w:rsidRDefault="00412E9C">
      <w:pPr>
        <w:spacing w:after="0" w:line="240" w:lineRule="auto"/>
      </w:pPr>
      <w:r>
        <w:separator/>
      </w:r>
    </w:p>
  </w:footnote>
  <w:footnote w:type="continuationSeparator" w:id="0">
    <w:p w:rsidR="00412E9C" w:rsidRDefault="00412E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3DD" w:rsidRPr="007D5856" w:rsidRDefault="00D51E3D" w:rsidP="00B963DD">
    <w:pPr>
      <w:tabs>
        <w:tab w:val="center" w:pos="4153"/>
        <w:tab w:val="right" w:pos="8306"/>
      </w:tabs>
      <w:spacing w:after="0" w:line="240" w:lineRule="auto"/>
      <w:jc w:val="center"/>
      <w:rPr>
        <w:rFonts w:ascii="Calibri" w:eastAsia="Calibri" w:hAnsi="Calibri" w:cs="Arial"/>
        <w:rtl/>
      </w:rPr>
    </w:pPr>
    <w:r w:rsidRPr="007D5856">
      <w:rPr>
        <w:rFonts w:ascii="Calibri" w:eastAsia="Calibri" w:hAnsi="Calibri" w:cs="Arial"/>
        <w:noProof/>
      </w:rPr>
      <w:drawing>
        <wp:inline distT="0" distB="0" distL="0" distR="0" wp14:anchorId="1C19FBFF" wp14:editId="2BE51EA9">
          <wp:extent cx="524510" cy="620395"/>
          <wp:effectExtent l="0" t="0" r="8890" b="8255"/>
          <wp:docPr id="60" name="תמונה 60" descr="sem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1" descr="semel"/>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4510" cy="620395"/>
                  </a:xfrm>
                  <a:prstGeom prst="rect">
                    <a:avLst/>
                  </a:prstGeom>
                  <a:noFill/>
                  <a:ln>
                    <a:noFill/>
                  </a:ln>
                </pic:spPr>
              </pic:pic>
            </a:graphicData>
          </a:graphic>
        </wp:inline>
      </w:drawing>
    </w:r>
  </w:p>
  <w:p w:rsidR="00B963DD" w:rsidRPr="007D5856" w:rsidRDefault="00D51E3D" w:rsidP="00B963DD">
    <w:pPr>
      <w:tabs>
        <w:tab w:val="center" w:pos="4153"/>
        <w:tab w:val="right" w:pos="8306"/>
      </w:tabs>
      <w:spacing w:after="0" w:line="240" w:lineRule="auto"/>
      <w:jc w:val="center"/>
      <w:rPr>
        <w:rFonts w:ascii="Calibri" w:eastAsia="Calibri" w:hAnsi="Calibri" w:cs="Arial"/>
        <w:rtl/>
      </w:rPr>
    </w:pPr>
    <w:r w:rsidRPr="007D5856">
      <w:rPr>
        <w:rFonts w:ascii="Calibri" w:eastAsia="Calibri" w:hAnsi="Calibri" w:cs="FrankRuehl" w:hint="cs"/>
        <w:color w:val="000080"/>
        <w:spacing w:val="10"/>
        <w:kern w:val="22"/>
        <w:sz w:val="28"/>
        <w:szCs w:val="28"/>
        <w:rtl/>
      </w:rPr>
      <w:t>ועדת החקירה הממלכתית לחקר אסון הר מירון</w:t>
    </w:r>
    <w:r w:rsidRPr="007D5856">
      <w:rPr>
        <w:rFonts w:ascii="Calibri" w:eastAsia="Calibri" w:hAnsi="Calibri" w:cs="FrankRuehl"/>
        <w:color w:val="000080"/>
        <w:spacing w:val="10"/>
        <w:sz w:val="20"/>
        <w:szCs w:val="24"/>
        <w:rtl/>
      </w:rPr>
      <w:t xml:space="preserve"> </w:t>
    </w:r>
  </w:p>
  <w:p w:rsidR="00B963DD" w:rsidRDefault="00412E9C">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E3D"/>
    <w:rsid w:val="00412E9C"/>
    <w:rsid w:val="00584739"/>
    <w:rsid w:val="00880C16"/>
    <w:rsid w:val="009C4D3F"/>
    <w:rsid w:val="00D51E3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483D2"/>
  <w15:chartTrackingRefBased/>
  <w15:docId w15:val="{517FDA3F-59B1-42EF-BB87-EFEC231A2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1E3D"/>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D51E3D"/>
    <w:rPr>
      <w:i/>
      <w:iCs/>
    </w:rPr>
  </w:style>
  <w:style w:type="paragraph" w:styleId="a4">
    <w:name w:val="Subtitle"/>
    <w:basedOn w:val="a"/>
    <w:next w:val="a"/>
    <w:link w:val="a5"/>
    <w:uiPriority w:val="11"/>
    <w:qFormat/>
    <w:rsid w:val="00D51E3D"/>
    <w:pPr>
      <w:numPr>
        <w:ilvl w:val="1"/>
      </w:numPr>
    </w:pPr>
    <w:rPr>
      <w:rFonts w:eastAsiaTheme="minorEastAsia"/>
      <w:color w:val="5A5A5A" w:themeColor="text1" w:themeTint="A5"/>
      <w:spacing w:val="15"/>
    </w:rPr>
  </w:style>
  <w:style w:type="character" w:customStyle="1" w:styleId="a5">
    <w:name w:val="כותרת משנה תו"/>
    <w:basedOn w:val="a0"/>
    <w:link w:val="a4"/>
    <w:uiPriority w:val="11"/>
    <w:rsid w:val="00D51E3D"/>
    <w:rPr>
      <w:rFonts w:eastAsiaTheme="minorEastAsia"/>
      <w:color w:val="5A5A5A" w:themeColor="text1" w:themeTint="A5"/>
      <w:spacing w:val="15"/>
    </w:rPr>
  </w:style>
  <w:style w:type="paragraph" w:styleId="a6">
    <w:name w:val="header"/>
    <w:basedOn w:val="a"/>
    <w:link w:val="a7"/>
    <w:uiPriority w:val="99"/>
    <w:unhideWhenUsed/>
    <w:rsid w:val="00D51E3D"/>
    <w:pPr>
      <w:tabs>
        <w:tab w:val="center" w:pos="4153"/>
        <w:tab w:val="right" w:pos="8306"/>
      </w:tabs>
      <w:spacing w:after="0" w:line="240" w:lineRule="auto"/>
    </w:pPr>
  </w:style>
  <w:style w:type="character" w:customStyle="1" w:styleId="a7">
    <w:name w:val="כותרת עליונה תו"/>
    <w:basedOn w:val="a0"/>
    <w:link w:val="a6"/>
    <w:uiPriority w:val="99"/>
    <w:rsid w:val="00D51E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831</Words>
  <Characters>4156</Characters>
  <Application>Microsoft Office Word</Application>
  <DocSecurity>0</DocSecurity>
  <Lines>34</Lines>
  <Paragraphs>9</Paragraphs>
  <ScaleCrop>false</ScaleCrop>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נעמה שחר</dc:creator>
  <cp:keywords/>
  <dc:description/>
  <cp:lastModifiedBy>Naamas</cp:lastModifiedBy>
  <cp:revision>2</cp:revision>
  <dcterms:created xsi:type="dcterms:W3CDTF">2024-03-06T09:21:00Z</dcterms:created>
  <dcterms:modified xsi:type="dcterms:W3CDTF">2024-03-06T09:54:00Z</dcterms:modified>
</cp:coreProperties>
</file>