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2207027</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חנוך דב מלביצקי</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0F713301" w:rsidR="00E13C27" w:rsidRPr="00E06736" w:rsidRDefault="00904591" w:rsidP="00C22A7A">
      <w:pPr>
        <w:pStyle w:val="David"/>
        <w:spacing w:line="240" w:lineRule="auto"/>
        <w:ind w:left="6424" w:firstLine="56"/>
        <w:rPr>
          <w:rtl/>
        </w:rPr>
      </w:pPr>
      <w:bookmarkStart w:id="6" w:name="Private_Number"/>
      <w:r>
        <w:rPr>
          <w:rFonts w:hint="cs"/>
          <w:rtl/>
        </w:rPr>
        <w:t>פ/3632/25</w:t>
      </w:r>
      <w:bookmarkEnd w:id="6"/>
    </w:p>
    <w:p w14:paraId="7F6961AC" w14:textId="77777777" w:rsidR="00E13C27" w:rsidRDefault="00E13C27" w:rsidP="00E13C27">
      <w:pPr>
        <w:ind w:left="2880" w:firstLine="720"/>
        <w:rPr>
          <w:sz w:val="26"/>
          <w:szCs w:val="26"/>
          <w:rtl/>
        </w:rPr>
      </w:pPr>
    </w:p>
    <w:p w14:paraId="04BE6FFA" w14:textId="77777777" w:rsidR="00C22A7A" w:rsidRDefault="00A443CF" w:rsidP="00C22A7A">
      <w:pPr>
        <w:pStyle w:val="HeadHatzaotHok"/>
        <w:spacing w:before="0"/>
        <w:rPr>
          <w:rtl/>
        </w:rPr>
      </w:pPr>
      <w:bookmarkStart w:id="7" w:name="LGS_Subject"/>
      <w:r>
        <w:rPr>
          <w:rFonts w:hint="cs"/>
          <w:rtl/>
        </w:rPr>
        <w:t xml:space="preserve">הצעת חוק לתיקון פקודת המשטרה (התקהלות בלתי חוקית מול ביתו של איש ציבור), </w:t>
      </w:r>
    </w:p>
    <w:p w14:paraId="7F6961AD" w14:textId="18DA8FA8" w:rsidR="00E13C27" w:rsidRPr="00F67051" w:rsidRDefault="00A443CF" w:rsidP="00C22A7A">
      <w:pPr>
        <w:pStyle w:val="HeadHatzaotHok"/>
        <w:spacing w:before="0"/>
        <w:rPr>
          <w:rtl/>
        </w:rPr>
      </w:pPr>
      <w:r>
        <w:rPr>
          <w:rFonts w:hint="cs"/>
          <w:rtl/>
        </w:rPr>
        <w:t>התשפ"ג–2023</w:t>
      </w:r>
      <w:bookmarkEnd w:id="7"/>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4647"/>
      </w:tblGrid>
      <w:tr w:rsidR="00134062" w14:paraId="7A07F27E" w14:textId="77777777" w:rsidTr="00C22A7A">
        <w:trPr>
          <w:cantSplit/>
        </w:trPr>
        <w:tc>
          <w:tcPr>
            <w:tcW w:w="1871" w:type="dxa"/>
          </w:tcPr>
          <w:p w14:paraId="6130EFA4" w14:textId="1D2DF087" w:rsidR="00134062" w:rsidRPr="00134062" w:rsidRDefault="00134062" w:rsidP="00134062">
            <w:pPr>
              <w:pStyle w:val="TableSideHeading"/>
              <w:rPr>
                <w:rtl/>
              </w:rPr>
            </w:pPr>
            <w:r w:rsidRPr="00134062">
              <w:rPr>
                <w:rFonts w:hint="cs"/>
                <w:rtl/>
              </w:rPr>
              <w:t>הוספת סעיף 89א</w:t>
            </w:r>
          </w:p>
        </w:tc>
        <w:tc>
          <w:tcPr>
            <w:tcW w:w="624" w:type="dxa"/>
          </w:tcPr>
          <w:p w14:paraId="2D6642BE" w14:textId="06712F3B" w:rsidR="00134062" w:rsidRDefault="00134062" w:rsidP="00134062">
            <w:pPr>
              <w:pStyle w:val="TableText"/>
              <w:rPr>
                <w:rtl/>
              </w:rPr>
            </w:pPr>
            <w:r>
              <w:rPr>
                <w:rFonts w:hint="cs"/>
                <w:rtl/>
              </w:rPr>
              <w:t>1.</w:t>
            </w:r>
          </w:p>
        </w:tc>
        <w:tc>
          <w:tcPr>
            <w:tcW w:w="7143" w:type="dxa"/>
            <w:gridSpan w:val="5"/>
          </w:tcPr>
          <w:p w14:paraId="471B3689" w14:textId="4E49513C" w:rsidR="00A67FAB" w:rsidRPr="00134062" w:rsidRDefault="00134062" w:rsidP="00C22A7A">
            <w:pPr>
              <w:pStyle w:val="TableBlock"/>
              <w:rPr>
                <w:rtl/>
              </w:rPr>
            </w:pPr>
            <w:r w:rsidRPr="00134062">
              <w:rPr>
                <w:rFonts w:hint="cs"/>
                <w:rtl/>
              </w:rPr>
              <w:t>בפקודת המשטרה [נוסח חדש], התשל"א</w:t>
            </w:r>
            <w:r w:rsidRPr="00134062">
              <w:rPr>
                <w:rtl/>
              </w:rPr>
              <w:t>–</w:t>
            </w:r>
            <w:r w:rsidRPr="00134062">
              <w:rPr>
                <w:rFonts w:hint="cs"/>
                <w:rtl/>
              </w:rPr>
              <w:t>1971</w:t>
            </w:r>
            <w:r w:rsidR="00AD593A" w:rsidRPr="00C22A7A">
              <w:rPr>
                <w:rStyle w:val="a5"/>
                <w:rFonts w:ascii="David" w:hAnsi="David"/>
                <w:sz w:val="26"/>
                <w:rtl/>
              </w:rPr>
              <w:footnoteReference w:id="2"/>
            </w:r>
            <w:r w:rsidRPr="00134062">
              <w:rPr>
                <w:rFonts w:hint="cs"/>
                <w:rtl/>
              </w:rPr>
              <w:t xml:space="preserve">, אחרי סעיף 89 יבוא: </w:t>
            </w:r>
          </w:p>
        </w:tc>
      </w:tr>
      <w:tr w:rsidR="00134062" w14:paraId="5BEEB27B" w14:textId="77777777" w:rsidTr="00C22A7A">
        <w:trPr>
          <w:cantSplit/>
        </w:trPr>
        <w:tc>
          <w:tcPr>
            <w:tcW w:w="1871" w:type="dxa"/>
          </w:tcPr>
          <w:p w14:paraId="3BE0C35A" w14:textId="1922FF7B" w:rsidR="00134062" w:rsidRDefault="00134062">
            <w:pPr>
              <w:pStyle w:val="TableSideHeading"/>
              <w:keepLines w:val="0"/>
            </w:pPr>
          </w:p>
        </w:tc>
        <w:tc>
          <w:tcPr>
            <w:tcW w:w="624" w:type="dxa"/>
          </w:tcPr>
          <w:p w14:paraId="38B324FE" w14:textId="77777777" w:rsidR="00134062" w:rsidRDefault="00134062">
            <w:pPr>
              <w:pStyle w:val="TableText"/>
              <w:keepLines w:val="0"/>
            </w:pPr>
          </w:p>
        </w:tc>
        <w:tc>
          <w:tcPr>
            <w:tcW w:w="1872" w:type="dxa"/>
            <w:gridSpan w:val="3"/>
          </w:tcPr>
          <w:p w14:paraId="4B9F012F" w14:textId="7130C2C5" w:rsidR="00134062" w:rsidRDefault="00F545B8">
            <w:pPr>
              <w:pStyle w:val="TableInnerSideHeading"/>
            </w:pPr>
            <w:r>
              <w:rPr>
                <w:rFonts w:hint="cs"/>
                <w:rtl/>
              </w:rPr>
              <w:t>"התקהלות בלתי חוקית מול ביתו של איש ציבור</w:t>
            </w:r>
          </w:p>
        </w:tc>
        <w:tc>
          <w:tcPr>
            <w:tcW w:w="624" w:type="dxa"/>
          </w:tcPr>
          <w:p w14:paraId="2DFD4AE8" w14:textId="76ACF846" w:rsidR="00134062" w:rsidRPr="00F545B8" w:rsidRDefault="00F545B8">
            <w:pPr>
              <w:pStyle w:val="TableText"/>
            </w:pPr>
            <w:r>
              <w:rPr>
                <w:rFonts w:hint="cs"/>
                <w:rtl/>
              </w:rPr>
              <w:t xml:space="preserve">89א. </w:t>
            </w:r>
          </w:p>
        </w:tc>
        <w:tc>
          <w:tcPr>
            <w:tcW w:w="4647" w:type="dxa"/>
          </w:tcPr>
          <w:p w14:paraId="692F7029" w14:textId="560F32FE" w:rsidR="00134062" w:rsidRDefault="006B4717" w:rsidP="006B4717">
            <w:pPr>
              <w:pStyle w:val="TableBlock"/>
            </w:pPr>
            <w:r w:rsidRPr="006B4717">
              <w:rPr>
                <w:rFonts w:hint="cs"/>
                <w:rtl/>
              </w:rPr>
              <w:t>(א</w:t>
            </w:r>
            <w:r>
              <w:rPr>
                <w:rFonts w:hint="cs"/>
                <w:rtl/>
              </w:rPr>
              <w:t xml:space="preserve">) </w:t>
            </w:r>
            <w:r w:rsidR="00AD593A">
              <w:rPr>
                <w:rFonts w:hint="cs"/>
                <w:rtl/>
              </w:rPr>
              <w:t xml:space="preserve">בסעיף זה </w:t>
            </w:r>
            <w:r w:rsidR="00AD593A">
              <w:rPr>
                <w:rtl/>
              </w:rPr>
              <w:t>–</w:t>
            </w:r>
          </w:p>
        </w:tc>
      </w:tr>
      <w:tr w:rsidR="00AD593A" w14:paraId="6D8566B2" w14:textId="77777777" w:rsidTr="00C22A7A">
        <w:trPr>
          <w:cantSplit/>
        </w:trPr>
        <w:tc>
          <w:tcPr>
            <w:tcW w:w="1871" w:type="dxa"/>
          </w:tcPr>
          <w:p w14:paraId="1166BE6D" w14:textId="77777777" w:rsidR="00AD593A" w:rsidRDefault="00AD593A">
            <w:pPr>
              <w:pStyle w:val="TableSideHeading"/>
            </w:pPr>
          </w:p>
        </w:tc>
        <w:tc>
          <w:tcPr>
            <w:tcW w:w="624" w:type="dxa"/>
          </w:tcPr>
          <w:p w14:paraId="2DA411E2" w14:textId="77777777" w:rsidR="00AD593A" w:rsidRDefault="00AD593A">
            <w:pPr>
              <w:pStyle w:val="TableText"/>
            </w:pPr>
          </w:p>
        </w:tc>
        <w:tc>
          <w:tcPr>
            <w:tcW w:w="624" w:type="dxa"/>
          </w:tcPr>
          <w:p w14:paraId="0A4EE8BA" w14:textId="77777777" w:rsidR="00AD593A" w:rsidRDefault="00AD593A">
            <w:pPr>
              <w:pStyle w:val="TableText"/>
            </w:pPr>
          </w:p>
        </w:tc>
        <w:tc>
          <w:tcPr>
            <w:tcW w:w="624" w:type="dxa"/>
          </w:tcPr>
          <w:p w14:paraId="1042ECB2" w14:textId="77777777" w:rsidR="00AD593A" w:rsidRDefault="00AD593A">
            <w:pPr>
              <w:pStyle w:val="TableText"/>
            </w:pPr>
          </w:p>
        </w:tc>
        <w:tc>
          <w:tcPr>
            <w:tcW w:w="624" w:type="dxa"/>
          </w:tcPr>
          <w:p w14:paraId="727F1E92" w14:textId="77777777" w:rsidR="00AD593A" w:rsidRDefault="00AD593A">
            <w:pPr>
              <w:pStyle w:val="TableText"/>
            </w:pPr>
          </w:p>
        </w:tc>
        <w:tc>
          <w:tcPr>
            <w:tcW w:w="624" w:type="dxa"/>
          </w:tcPr>
          <w:p w14:paraId="11C4CE8D" w14:textId="77777777" w:rsidR="00AD593A" w:rsidRPr="00C22A7A" w:rsidRDefault="00AD593A" w:rsidP="00C22A7A">
            <w:pPr>
              <w:pStyle w:val="TableText"/>
              <w:jc w:val="both"/>
            </w:pPr>
          </w:p>
        </w:tc>
        <w:tc>
          <w:tcPr>
            <w:tcW w:w="4647" w:type="dxa"/>
          </w:tcPr>
          <w:p w14:paraId="4634AAB3" w14:textId="672C9098" w:rsidR="00AD593A" w:rsidRPr="005078E5" w:rsidRDefault="00AD593A" w:rsidP="00C22A7A">
            <w:pPr>
              <w:pStyle w:val="TableBlockOutdent"/>
            </w:pPr>
            <w:r w:rsidRPr="005078E5">
              <w:rPr>
                <w:rtl/>
              </w:rPr>
              <w:t xml:space="preserve">"איש ציבור" – נשיא המדינה, ראש הממשלה, שר, סגן שר, חבר </w:t>
            </w:r>
            <w:r w:rsidR="004F7D9F">
              <w:rPr>
                <w:rFonts w:hint="cs"/>
                <w:rtl/>
              </w:rPr>
              <w:t>ה</w:t>
            </w:r>
            <w:r w:rsidRPr="005078E5">
              <w:rPr>
                <w:rtl/>
              </w:rPr>
              <w:t>כנסת, שופט, ראש רשות מקומית, חבר מועצת רשות מקומית, עובד ציבור בכיר, עיתונאי או בעל מניות המחזיק בחמישה אחוזים או יותר בבעלות על כלי תקשורת;</w:t>
            </w:r>
          </w:p>
        </w:tc>
      </w:tr>
      <w:tr w:rsidR="00AD593A" w14:paraId="740AFAD4" w14:textId="77777777" w:rsidTr="00C22A7A">
        <w:trPr>
          <w:cantSplit/>
        </w:trPr>
        <w:tc>
          <w:tcPr>
            <w:tcW w:w="1871" w:type="dxa"/>
          </w:tcPr>
          <w:p w14:paraId="730CCB15" w14:textId="5E743A61" w:rsidR="00AD593A" w:rsidRDefault="00AD593A">
            <w:pPr>
              <w:pStyle w:val="TableSideHeading"/>
            </w:pPr>
          </w:p>
        </w:tc>
        <w:tc>
          <w:tcPr>
            <w:tcW w:w="624" w:type="dxa"/>
          </w:tcPr>
          <w:p w14:paraId="4CD7CA88" w14:textId="77777777" w:rsidR="00AD593A" w:rsidRDefault="00AD593A" w:rsidP="00AD593A">
            <w:pPr>
              <w:pStyle w:val="TableText"/>
            </w:pPr>
          </w:p>
        </w:tc>
        <w:tc>
          <w:tcPr>
            <w:tcW w:w="624" w:type="dxa"/>
          </w:tcPr>
          <w:p w14:paraId="0D819E73" w14:textId="77777777" w:rsidR="00AD593A" w:rsidRDefault="00AD593A">
            <w:pPr>
              <w:pStyle w:val="TableText"/>
            </w:pPr>
          </w:p>
        </w:tc>
        <w:tc>
          <w:tcPr>
            <w:tcW w:w="624" w:type="dxa"/>
          </w:tcPr>
          <w:p w14:paraId="40A8497D" w14:textId="77777777" w:rsidR="00AD593A" w:rsidRDefault="00AD593A">
            <w:pPr>
              <w:pStyle w:val="TableText"/>
            </w:pPr>
          </w:p>
        </w:tc>
        <w:tc>
          <w:tcPr>
            <w:tcW w:w="624" w:type="dxa"/>
          </w:tcPr>
          <w:p w14:paraId="13182498" w14:textId="77777777" w:rsidR="00AD593A" w:rsidRDefault="00AD593A">
            <w:pPr>
              <w:pStyle w:val="TableText"/>
            </w:pPr>
          </w:p>
        </w:tc>
        <w:tc>
          <w:tcPr>
            <w:tcW w:w="624" w:type="dxa"/>
          </w:tcPr>
          <w:p w14:paraId="20408914" w14:textId="77777777" w:rsidR="00AD593A" w:rsidRDefault="00AD593A">
            <w:pPr>
              <w:pStyle w:val="TableText"/>
            </w:pPr>
          </w:p>
        </w:tc>
        <w:tc>
          <w:tcPr>
            <w:tcW w:w="4647" w:type="dxa"/>
          </w:tcPr>
          <w:p w14:paraId="66D77E09" w14:textId="1DEFFABE" w:rsidR="00AD593A" w:rsidRPr="005078E5" w:rsidRDefault="00AD593A" w:rsidP="00C22A7A">
            <w:pPr>
              <w:pStyle w:val="TableBlockOutdent"/>
              <w:rPr>
                <w:rtl/>
              </w:rPr>
            </w:pPr>
            <w:r w:rsidRPr="005078E5">
              <w:rPr>
                <w:rtl/>
              </w:rPr>
              <w:t>"אספה" – שני אנשים או יותר שהתקהלו כדי להפגין או לשמוע נאום או הרצאה על נושא בעל ענין מדיני</w:t>
            </w:r>
            <w:r w:rsidR="00E54D1F">
              <w:rPr>
                <w:rFonts w:hint="cs"/>
                <w:rtl/>
              </w:rPr>
              <w:t>,</w:t>
            </w:r>
            <w:r w:rsidRPr="005078E5">
              <w:rPr>
                <w:rtl/>
              </w:rPr>
              <w:t xml:space="preserve"> או כדי לדון בנושא כזה;</w:t>
            </w:r>
          </w:p>
        </w:tc>
      </w:tr>
      <w:tr w:rsidR="00AD593A" w14:paraId="3DDDB1A3" w14:textId="77777777" w:rsidTr="00C22A7A">
        <w:trPr>
          <w:cantSplit/>
        </w:trPr>
        <w:tc>
          <w:tcPr>
            <w:tcW w:w="1871" w:type="dxa"/>
          </w:tcPr>
          <w:p w14:paraId="3F38032C" w14:textId="77777777" w:rsidR="00AD593A" w:rsidRDefault="00AD593A">
            <w:pPr>
              <w:pStyle w:val="TableSideHeading"/>
            </w:pPr>
          </w:p>
        </w:tc>
        <w:tc>
          <w:tcPr>
            <w:tcW w:w="624" w:type="dxa"/>
          </w:tcPr>
          <w:p w14:paraId="62DE77BD" w14:textId="77777777" w:rsidR="00AD593A" w:rsidRDefault="00AD593A" w:rsidP="00AD593A">
            <w:pPr>
              <w:pStyle w:val="TableText"/>
            </w:pPr>
          </w:p>
        </w:tc>
        <w:tc>
          <w:tcPr>
            <w:tcW w:w="624" w:type="dxa"/>
          </w:tcPr>
          <w:p w14:paraId="0BA475D0" w14:textId="77777777" w:rsidR="00AD593A" w:rsidRDefault="00AD593A">
            <w:pPr>
              <w:pStyle w:val="TableText"/>
            </w:pPr>
          </w:p>
        </w:tc>
        <w:tc>
          <w:tcPr>
            <w:tcW w:w="624" w:type="dxa"/>
          </w:tcPr>
          <w:p w14:paraId="3F487279" w14:textId="77777777" w:rsidR="00AD593A" w:rsidRDefault="00AD593A">
            <w:pPr>
              <w:pStyle w:val="TableText"/>
            </w:pPr>
          </w:p>
        </w:tc>
        <w:tc>
          <w:tcPr>
            <w:tcW w:w="624" w:type="dxa"/>
          </w:tcPr>
          <w:p w14:paraId="595C517D" w14:textId="77777777" w:rsidR="00AD593A" w:rsidRDefault="00AD593A">
            <w:pPr>
              <w:pStyle w:val="TableText"/>
            </w:pPr>
          </w:p>
        </w:tc>
        <w:tc>
          <w:tcPr>
            <w:tcW w:w="624" w:type="dxa"/>
          </w:tcPr>
          <w:p w14:paraId="45AF17D4" w14:textId="77777777" w:rsidR="00AD593A" w:rsidRDefault="00AD593A">
            <w:pPr>
              <w:pStyle w:val="TableText"/>
            </w:pPr>
          </w:p>
        </w:tc>
        <w:tc>
          <w:tcPr>
            <w:tcW w:w="4647" w:type="dxa"/>
          </w:tcPr>
          <w:p w14:paraId="6931FDAC" w14:textId="4D46D3AA" w:rsidR="00AD593A" w:rsidRPr="005078E5" w:rsidRDefault="00AD593A" w:rsidP="00C22A7A">
            <w:pPr>
              <w:pStyle w:val="TableBlockOutdent"/>
              <w:rPr>
                <w:rtl/>
              </w:rPr>
            </w:pPr>
            <w:r w:rsidRPr="005078E5">
              <w:rPr>
                <w:rtl/>
              </w:rPr>
              <w:t xml:space="preserve">"אספה שקטה" – אספה </w:t>
            </w:r>
            <w:r w:rsidR="00E54D1F">
              <w:rPr>
                <w:rFonts w:hint="cs"/>
                <w:rtl/>
              </w:rPr>
              <w:t>ש</w:t>
            </w:r>
            <w:r w:rsidRPr="005078E5">
              <w:rPr>
                <w:rtl/>
              </w:rPr>
              <w:t>בה לא נעשה שימוש באמצעי הגברה או קול או אמצעי אחר שמטרתו להשמיע צליל או להקים רעש</w:t>
            </w:r>
            <w:r w:rsidR="00E54D1F">
              <w:rPr>
                <w:rFonts w:hint="cs"/>
                <w:rtl/>
              </w:rPr>
              <w:t>,</w:t>
            </w:r>
            <w:r w:rsidRPr="005078E5">
              <w:rPr>
                <w:rtl/>
              </w:rPr>
              <w:t xml:space="preserve"> או אספה שאינה נערכת באופן המנוגד לסעיף 2 לחוק למניעת מפגעים, </w:t>
            </w:r>
            <w:r w:rsidR="004F7D9F">
              <w:rPr>
                <w:rFonts w:hint="cs"/>
                <w:rtl/>
              </w:rPr>
              <w:t>ה</w:t>
            </w:r>
            <w:r w:rsidRPr="005078E5">
              <w:rPr>
                <w:rtl/>
              </w:rPr>
              <w:t>תשכ"א–1961</w:t>
            </w:r>
            <w:r w:rsidR="004E0750" w:rsidRPr="00C22A7A">
              <w:rPr>
                <w:rStyle w:val="a5"/>
                <w:rFonts w:ascii="David" w:hAnsi="David"/>
                <w:sz w:val="26"/>
                <w:rtl/>
              </w:rPr>
              <w:footnoteReference w:id="3"/>
            </w:r>
            <w:r w:rsidRPr="005078E5">
              <w:rPr>
                <w:rFonts w:hint="cs"/>
                <w:rtl/>
              </w:rPr>
              <w:t>;</w:t>
            </w:r>
          </w:p>
        </w:tc>
      </w:tr>
      <w:tr w:rsidR="005911B6" w14:paraId="34DB2774" w14:textId="77777777" w:rsidTr="00C22A7A">
        <w:trPr>
          <w:cantSplit/>
        </w:trPr>
        <w:tc>
          <w:tcPr>
            <w:tcW w:w="1871" w:type="dxa"/>
          </w:tcPr>
          <w:p w14:paraId="2B36B90D" w14:textId="77777777" w:rsidR="005911B6" w:rsidRDefault="005911B6">
            <w:pPr>
              <w:pStyle w:val="TableSideHeading"/>
            </w:pPr>
          </w:p>
        </w:tc>
        <w:tc>
          <w:tcPr>
            <w:tcW w:w="624" w:type="dxa"/>
          </w:tcPr>
          <w:p w14:paraId="6D65FE43" w14:textId="77777777" w:rsidR="005911B6" w:rsidRDefault="005911B6" w:rsidP="005911B6">
            <w:pPr>
              <w:pStyle w:val="TableText"/>
            </w:pPr>
          </w:p>
        </w:tc>
        <w:tc>
          <w:tcPr>
            <w:tcW w:w="624" w:type="dxa"/>
          </w:tcPr>
          <w:p w14:paraId="7CD848AC" w14:textId="77777777" w:rsidR="005911B6" w:rsidRDefault="005911B6">
            <w:pPr>
              <w:pStyle w:val="TableText"/>
            </w:pPr>
          </w:p>
        </w:tc>
        <w:tc>
          <w:tcPr>
            <w:tcW w:w="624" w:type="dxa"/>
          </w:tcPr>
          <w:p w14:paraId="1068E3E6" w14:textId="77777777" w:rsidR="005911B6" w:rsidRDefault="005911B6">
            <w:pPr>
              <w:pStyle w:val="TableText"/>
            </w:pPr>
          </w:p>
        </w:tc>
        <w:tc>
          <w:tcPr>
            <w:tcW w:w="624" w:type="dxa"/>
          </w:tcPr>
          <w:p w14:paraId="22FBBA4F" w14:textId="77777777" w:rsidR="005911B6" w:rsidRDefault="005911B6">
            <w:pPr>
              <w:pStyle w:val="TableText"/>
            </w:pPr>
          </w:p>
        </w:tc>
        <w:tc>
          <w:tcPr>
            <w:tcW w:w="624" w:type="dxa"/>
          </w:tcPr>
          <w:p w14:paraId="2E2734AE" w14:textId="77777777" w:rsidR="005911B6" w:rsidRDefault="005911B6">
            <w:pPr>
              <w:pStyle w:val="TableText"/>
            </w:pPr>
          </w:p>
        </w:tc>
        <w:tc>
          <w:tcPr>
            <w:tcW w:w="4647" w:type="dxa"/>
          </w:tcPr>
          <w:p w14:paraId="311CB1BB" w14:textId="0CA05431" w:rsidR="005911B6" w:rsidRPr="005078E5" w:rsidRDefault="005911B6" w:rsidP="00C22A7A">
            <w:pPr>
              <w:pStyle w:val="TableBlockOutdent"/>
              <w:rPr>
                <w:rtl/>
              </w:rPr>
            </w:pPr>
            <w:r w:rsidRPr="005078E5">
              <w:rPr>
                <w:rtl/>
              </w:rPr>
              <w:t xml:space="preserve">"תהלוכה" – שני אנשים או יותר המהלכים יחד, או המתקהלים כדי להלך יחד, ממקום למקום, בין שהם בתנועה ממש ובין </w:t>
            </w:r>
            <w:r w:rsidR="00E54D1F">
              <w:rPr>
                <w:rFonts w:hint="cs"/>
                <w:rtl/>
              </w:rPr>
              <w:t>ש</w:t>
            </w:r>
            <w:r w:rsidRPr="005078E5">
              <w:rPr>
                <w:rtl/>
              </w:rPr>
              <w:t xml:space="preserve">לאו, בין שהם ערוכים בצורה כלשהי ובין </w:t>
            </w:r>
            <w:r w:rsidR="00E54D1F">
              <w:rPr>
                <w:rFonts w:hint="cs"/>
                <w:rtl/>
              </w:rPr>
              <w:t>ש</w:t>
            </w:r>
            <w:r w:rsidRPr="005078E5">
              <w:rPr>
                <w:rtl/>
              </w:rPr>
              <w:t>לאו;</w:t>
            </w:r>
          </w:p>
        </w:tc>
      </w:tr>
      <w:tr w:rsidR="005911B6" w14:paraId="49982108" w14:textId="77777777" w:rsidTr="00C22A7A">
        <w:trPr>
          <w:cantSplit/>
        </w:trPr>
        <w:tc>
          <w:tcPr>
            <w:tcW w:w="1871" w:type="dxa"/>
          </w:tcPr>
          <w:p w14:paraId="5D05DCDC" w14:textId="77777777" w:rsidR="005911B6" w:rsidRDefault="005911B6">
            <w:pPr>
              <w:pStyle w:val="TableSideHeading"/>
            </w:pPr>
          </w:p>
        </w:tc>
        <w:tc>
          <w:tcPr>
            <w:tcW w:w="624" w:type="dxa"/>
          </w:tcPr>
          <w:p w14:paraId="44F6CDA5" w14:textId="77777777" w:rsidR="005911B6" w:rsidRDefault="005911B6" w:rsidP="005911B6">
            <w:pPr>
              <w:pStyle w:val="TableText"/>
            </w:pPr>
          </w:p>
        </w:tc>
        <w:tc>
          <w:tcPr>
            <w:tcW w:w="624" w:type="dxa"/>
          </w:tcPr>
          <w:p w14:paraId="4B3C1818" w14:textId="77777777" w:rsidR="005911B6" w:rsidRDefault="005911B6">
            <w:pPr>
              <w:pStyle w:val="TableText"/>
            </w:pPr>
          </w:p>
        </w:tc>
        <w:tc>
          <w:tcPr>
            <w:tcW w:w="624" w:type="dxa"/>
          </w:tcPr>
          <w:p w14:paraId="5B7532CC" w14:textId="77777777" w:rsidR="005911B6" w:rsidRDefault="005911B6">
            <w:pPr>
              <w:pStyle w:val="TableText"/>
            </w:pPr>
          </w:p>
        </w:tc>
        <w:tc>
          <w:tcPr>
            <w:tcW w:w="624" w:type="dxa"/>
          </w:tcPr>
          <w:p w14:paraId="3A2AB365" w14:textId="77777777" w:rsidR="005911B6" w:rsidRDefault="005911B6">
            <w:pPr>
              <w:pStyle w:val="TableText"/>
            </w:pPr>
          </w:p>
        </w:tc>
        <w:tc>
          <w:tcPr>
            <w:tcW w:w="624" w:type="dxa"/>
          </w:tcPr>
          <w:p w14:paraId="13310A21" w14:textId="77777777" w:rsidR="005911B6" w:rsidRDefault="005911B6">
            <w:pPr>
              <w:pStyle w:val="TableText"/>
            </w:pPr>
          </w:p>
        </w:tc>
        <w:tc>
          <w:tcPr>
            <w:tcW w:w="4647" w:type="dxa"/>
          </w:tcPr>
          <w:p w14:paraId="5B5E3EB2" w14:textId="29C0D589" w:rsidR="005911B6" w:rsidRPr="005078E5" w:rsidRDefault="005078E5" w:rsidP="00C22A7A">
            <w:pPr>
              <w:pStyle w:val="TableBlockOutdent"/>
              <w:rPr>
                <w:rtl/>
              </w:rPr>
            </w:pPr>
            <w:r w:rsidRPr="005078E5">
              <w:rPr>
                <w:rtl/>
              </w:rPr>
              <w:t>"תהלוכה שקטה"</w:t>
            </w:r>
            <w:r w:rsidRPr="005078E5">
              <w:rPr>
                <w:rFonts w:hint="cs"/>
                <w:rtl/>
              </w:rPr>
              <w:t xml:space="preserve"> </w:t>
            </w:r>
            <w:r w:rsidRPr="005078E5">
              <w:rPr>
                <w:rtl/>
              </w:rPr>
              <w:t>–</w:t>
            </w:r>
            <w:r w:rsidRPr="005078E5">
              <w:rPr>
                <w:rFonts w:hint="cs"/>
                <w:rtl/>
              </w:rPr>
              <w:t xml:space="preserve"> </w:t>
            </w:r>
            <w:r w:rsidR="005911B6" w:rsidRPr="005078E5">
              <w:rPr>
                <w:rFonts w:hint="cs"/>
                <w:rtl/>
              </w:rPr>
              <w:t>תהלוכה</w:t>
            </w:r>
            <w:r w:rsidR="005911B6" w:rsidRPr="005078E5">
              <w:rPr>
                <w:rtl/>
              </w:rPr>
              <w:t xml:space="preserve"> </w:t>
            </w:r>
            <w:r w:rsidR="00E54D1F">
              <w:rPr>
                <w:rFonts w:hint="cs"/>
                <w:rtl/>
              </w:rPr>
              <w:t>ש</w:t>
            </w:r>
            <w:r w:rsidR="005911B6" w:rsidRPr="005078E5">
              <w:rPr>
                <w:rtl/>
              </w:rPr>
              <w:t>בה לא נעשה שימוש באמצעי הגברה או קול או אמצעי אחר שמטרתו להשמיע צליל או להקים רעש</w:t>
            </w:r>
            <w:r w:rsidR="00E54D1F">
              <w:rPr>
                <w:rFonts w:hint="cs"/>
                <w:rtl/>
              </w:rPr>
              <w:t>,</w:t>
            </w:r>
            <w:r w:rsidR="005911B6" w:rsidRPr="005078E5">
              <w:rPr>
                <w:rtl/>
              </w:rPr>
              <w:t xml:space="preserve"> או תהלוכה שאינה נערכת באופן המנוגד לסעיף 2 לחוק למניעת מפגעים, </w:t>
            </w:r>
            <w:r w:rsidR="00E54D1F">
              <w:rPr>
                <w:rFonts w:hint="cs"/>
                <w:rtl/>
              </w:rPr>
              <w:t>ה</w:t>
            </w:r>
            <w:r w:rsidR="005911B6" w:rsidRPr="005078E5">
              <w:rPr>
                <w:rtl/>
              </w:rPr>
              <w:t>תשכ"א–1961.</w:t>
            </w:r>
          </w:p>
        </w:tc>
      </w:tr>
      <w:tr w:rsidR="00D8123B" w14:paraId="7F4F9D5C" w14:textId="77777777" w:rsidTr="00C22A7A">
        <w:trPr>
          <w:cantSplit/>
        </w:trPr>
        <w:tc>
          <w:tcPr>
            <w:tcW w:w="1871" w:type="dxa"/>
          </w:tcPr>
          <w:p w14:paraId="5CB1FA51" w14:textId="77777777" w:rsidR="00D8123B" w:rsidRDefault="00D8123B">
            <w:pPr>
              <w:pStyle w:val="TableSideHeading"/>
            </w:pPr>
          </w:p>
        </w:tc>
        <w:tc>
          <w:tcPr>
            <w:tcW w:w="624" w:type="dxa"/>
          </w:tcPr>
          <w:p w14:paraId="32DCEA3D" w14:textId="77777777" w:rsidR="00D8123B" w:rsidRDefault="00D8123B" w:rsidP="005911B6">
            <w:pPr>
              <w:pStyle w:val="TableText"/>
            </w:pPr>
          </w:p>
        </w:tc>
        <w:tc>
          <w:tcPr>
            <w:tcW w:w="624" w:type="dxa"/>
          </w:tcPr>
          <w:p w14:paraId="601306D1" w14:textId="77777777" w:rsidR="00D8123B" w:rsidRDefault="00D8123B">
            <w:pPr>
              <w:pStyle w:val="TableText"/>
            </w:pPr>
          </w:p>
        </w:tc>
        <w:tc>
          <w:tcPr>
            <w:tcW w:w="624" w:type="dxa"/>
          </w:tcPr>
          <w:p w14:paraId="54F965E7" w14:textId="77777777" w:rsidR="00D8123B" w:rsidRDefault="00D8123B">
            <w:pPr>
              <w:pStyle w:val="TableText"/>
            </w:pPr>
          </w:p>
        </w:tc>
        <w:tc>
          <w:tcPr>
            <w:tcW w:w="624" w:type="dxa"/>
          </w:tcPr>
          <w:p w14:paraId="7EC730EC" w14:textId="77777777" w:rsidR="00D8123B" w:rsidRDefault="00D8123B">
            <w:pPr>
              <w:pStyle w:val="TableText"/>
            </w:pPr>
          </w:p>
        </w:tc>
        <w:tc>
          <w:tcPr>
            <w:tcW w:w="624" w:type="dxa"/>
          </w:tcPr>
          <w:p w14:paraId="3AACBE0D" w14:textId="77777777" w:rsidR="00D8123B" w:rsidRDefault="00D8123B">
            <w:pPr>
              <w:pStyle w:val="TableText"/>
            </w:pPr>
          </w:p>
        </w:tc>
        <w:tc>
          <w:tcPr>
            <w:tcW w:w="4647" w:type="dxa"/>
          </w:tcPr>
          <w:p w14:paraId="1003DD5B" w14:textId="2241586D" w:rsidR="00D8123B" w:rsidRPr="00D8123B" w:rsidRDefault="00D8123B" w:rsidP="006B4717">
            <w:pPr>
              <w:pStyle w:val="TableBlock"/>
              <w:rPr>
                <w:rtl/>
              </w:rPr>
            </w:pPr>
            <w:r>
              <w:rPr>
                <w:rFonts w:hint="cs"/>
                <w:rtl/>
              </w:rPr>
              <w:t>(</w:t>
            </w:r>
            <w:r w:rsidR="006B4717">
              <w:rPr>
                <w:rFonts w:hint="cs"/>
                <w:rtl/>
              </w:rPr>
              <w:t>ב</w:t>
            </w:r>
            <w:r>
              <w:rPr>
                <w:rFonts w:hint="cs"/>
                <w:rtl/>
              </w:rPr>
              <w:t>)</w:t>
            </w:r>
            <w:r>
              <w:rPr>
                <w:rtl/>
              </w:rPr>
              <w:tab/>
            </w:r>
            <w:r w:rsidR="00EA0D6C">
              <w:rPr>
                <w:rFonts w:hint="cs"/>
                <w:rtl/>
              </w:rPr>
              <w:t xml:space="preserve">יראו </w:t>
            </w:r>
            <w:r w:rsidR="00E54D1F">
              <w:rPr>
                <w:rtl/>
              </w:rPr>
              <w:t>אס</w:t>
            </w:r>
            <w:r w:rsidR="001D4A2C">
              <w:rPr>
                <w:rtl/>
              </w:rPr>
              <w:t>פה או תהלוכה המתקיימת במרחק הקטן מ</w:t>
            </w:r>
            <w:r w:rsidR="00E54D1F">
              <w:rPr>
                <w:rFonts w:hint="cs"/>
                <w:rtl/>
              </w:rPr>
              <w:t>־</w:t>
            </w:r>
            <w:r w:rsidR="001D4A2C">
              <w:rPr>
                <w:rtl/>
              </w:rPr>
              <w:t xml:space="preserve">230 מטרים מביתו הפרטי של איש ציבור </w:t>
            </w:r>
            <w:r w:rsidR="00EA0D6C">
              <w:rPr>
                <w:rFonts w:hint="cs"/>
                <w:rtl/>
              </w:rPr>
              <w:t>כ</w:t>
            </w:r>
            <w:r w:rsidR="001D4A2C">
              <w:rPr>
                <w:rtl/>
              </w:rPr>
              <w:t>התקהלות בלתי חוקית.</w:t>
            </w:r>
          </w:p>
        </w:tc>
      </w:tr>
      <w:tr w:rsidR="00D8123B" w14:paraId="3C8FB75F" w14:textId="77777777" w:rsidTr="00C22A7A">
        <w:trPr>
          <w:cantSplit/>
        </w:trPr>
        <w:tc>
          <w:tcPr>
            <w:tcW w:w="1871" w:type="dxa"/>
          </w:tcPr>
          <w:p w14:paraId="19603CC4" w14:textId="77777777" w:rsidR="00D8123B" w:rsidRDefault="00D8123B">
            <w:pPr>
              <w:pStyle w:val="TableSideHeading"/>
            </w:pPr>
          </w:p>
        </w:tc>
        <w:tc>
          <w:tcPr>
            <w:tcW w:w="624" w:type="dxa"/>
          </w:tcPr>
          <w:p w14:paraId="1C07F5D6" w14:textId="77777777" w:rsidR="00D8123B" w:rsidRDefault="00D8123B" w:rsidP="00D8123B">
            <w:pPr>
              <w:pStyle w:val="TableText"/>
            </w:pPr>
          </w:p>
        </w:tc>
        <w:tc>
          <w:tcPr>
            <w:tcW w:w="624" w:type="dxa"/>
          </w:tcPr>
          <w:p w14:paraId="786EC2EB" w14:textId="77777777" w:rsidR="00D8123B" w:rsidRDefault="00D8123B">
            <w:pPr>
              <w:pStyle w:val="TableText"/>
            </w:pPr>
          </w:p>
        </w:tc>
        <w:tc>
          <w:tcPr>
            <w:tcW w:w="624" w:type="dxa"/>
          </w:tcPr>
          <w:p w14:paraId="4C38A9B5" w14:textId="77777777" w:rsidR="00D8123B" w:rsidRDefault="00D8123B">
            <w:pPr>
              <w:pStyle w:val="TableText"/>
            </w:pPr>
          </w:p>
        </w:tc>
        <w:tc>
          <w:tcPr>
            <w:tcW w:w="624" w:type="dxa"/>
          </w:tcPr>
          <w:p w14:paraId="34D353CE" w14:textId="77777777" w:rsidR="00D8123B" w:rsidRDefault="00D8123B">
            <w:pPr>
              <w:pStyle w:val="TableText"/>
            </w:pPr>
          </w:p>
        </w:tc>
        <w:tc>
          <w:tcPr>
            <w:tcW w:w="624" w:type="dxa"/>
          </w:tcPr>
          <w:p w14:paraId="2A42D184" w14:textId="77777777" w:rsidR="00D8123B" w:rsidRDefault="00D8123B">
            <w:pPr>
              <w:pStyle w:val="TableText"/>
            </w:pPr>
          </w:p>
        </w:tc>
        <w:tc>
          <w:tcPr>
            <w:tcW w:w="4647" w:type="dxa"/>
          </w:tcPr>
          <w:p w14:paraId="606C79F6" w14:textId="11F28827" w:rsidR="00D8123B" w:rsidRDefault="001D4A2C" w:rsidP="006B4717">
            <w:pPr>
              <w:pStyle w:val="TableBlock"/>
              <w:rPr>
                <w:rtl/>
              </w:rPr>
            </w:pPr>
            <w:r>
              <w:rPr>
                <w:rFonts w:hint="cs"/>
                <w:rtl/>
              </w:rPr>
              <w:t>(</w:t>
            </w:r>
            <w:r w:rsidR="006B4717">
              <w:rPr>
                <w:rFonts w:hint="cs"/>
                <w:rtl/>
              </w:rPr>
              <w:t>ג</w:t>
            </w:r>
            <w:r>
              <w:rPr>
                <w:rFonts w:hint="cs"/>
                <w:rtl/>
              </w:rPr>
              <w:t>)</w:t>
            </w:r>
            <w:r>
              <w:rPr>
                <w:rtl/>
              </w:rPr>
              <w:tab/>
              <w:t>על אף האמור בסעיף קטן (</w:t>
            </w:r>
            <w:r w:rsidR="00EA0D6C">
              <w:rPr>
                <w:rFonts w:hint="cs"/>
                <w:rtl/>
              </w:rPr>
              <w:t>א</w:t>
            </w:r>
            <w:r>
              <w:rPr>
                <w:rtl/>
              </w:rPr>
              <w:t>),</w:t>
            </w:r>
            <w:r w:rsidR="00E54D1F">
              <w:rPr>
                <w:rtl/>
              </w:rPr>
              <w:t xml:space="preserve"> לא יראו כהתקהלות בלתי חוקית אס</w:t>
            </w:r>
            <w:r>
              <w:rPr>
                <w:rtl/>
              </w:rPr>
              <w:t>פה שקטה או תהלוכה שקטה המונה עד חמישה משתתפים המתקיימת במרחק שלא יפחת מ</w:t>
            </w:r>
            <w:r w:rsidR="00C67AFE">
              <w:rPr>
                <w:rFonts w:hint="cs"/>
                <w:rtl/>
              </w:rPr>
              <w:t>־</w:t>
            </w:r>
            <w:r>
              <w:rPr>
                <w:rtl/>
              </w:rPr>
              <w:t>150 מטרים מביתו הפרטי של איש ציבור.</w:t>
            </w:r>
          </w:p>
        </w:tc>
      </w:tr>
      <w:tr w:rsidR="00D8123B" w14:paraId="16A4EA80" w14:textId="77777777" w:rsidTr="00C22A7A">
        <w:trPr>
          <w:cantSplit/>
        </w:trPr>
        <w:tc>
          <w:tcPr>
            <w:tcW w:w="1871" w:type="dxa"/>
          </w:tcPr>
          <w:p w14:paraId="7D431407" w14:textId="77777777" w:rsidR="00D8123B" w:rsidRDefault="00D8123B">
            <w:pPr>
              <w:pStyle w:val="TableSideHeading"/>
            </w:pPr>
          </w:p>
        </w:tc>
        <w:tc>
          <w:tcPr>
            <w:tcW w:w="624" w:type="dxa"/>
          </w:tcPr>
          <w:p w14:paraId="11645851" w14:textId="77777777" w:rsidR="00D8123B" w:rsidRDefault="00D8123B" w:rsidP="00D8123B">
            <w:pPr>
              <w:pStyle w:val="TableText"/>
            </w:pPr>
          </w:p>
        </w:tc>
        <w:tc>
          <w:tcPr>
            <w:tcW w:w="624" w:type="dxa"/>
          </w:tcPr>
          <w:p w14:paraId="519CD3FF" w14:textId="77777777" w:rsidR="00D8123B" w:rsidRDefault="00D8123B">
            <w:pPr>
              <w:pStyle w:val="TableText"/>
            </w:pPr>
          </w:p>
        </w:tc>
        <w:tc>
          <w:tcPr>
            <w:tcW w:w="624" w:type="dxa"/>
          </w:tcPr>
          <w:p w14:paraId="087DBCCD" w14:textId="77777777" w:rsidR="00D8123B" w:rsidRDefault="00D8123B">
            <w:pPr>
              <w:pStyle w:val="TableText"/>
            </w:pPr>
          </w:p>
        </w:tc>
        <w:tc>
          <w:tcPr>
            <w:tcW w:w="624" w:type="dxa"/>
          </w:tcPr>
          <w:p w14:paraId="5AC0ABCF" w14:textId="77777777" w:rsidR="00D8123B" w:rsidRDefault="00D8123B">
            <w:pPr>
              <w:pStyle w:val="TableText"/>
            </w:pPr>
          </w:p>
        </w:tc>
        <w:tc>
          <w:tcPr>
            <w:tcW w:w="624" w:type="dxa"/>
          </w:tcPr>
          <w:p w14:paraId="2C8C0BE7" w14:textId="77777777" w:rsidR="00D8123B" w:rsidRDefault="00D8123B">
            <w:pPr>
              <w:pStyle w:val="TableText"/>
            </w:pPr>
          </w:p>
        </w:tc>
        <w:tc>
          <w:tcPr>
            <w:tcW w:w="4647" w:type="dxa"/>
          </w:tcPr>
          <w:p w14:paraId="13B15F62" w14:textId="5CB745A5" w:rsidR="00D8123B" w:rsidRDefault="001D4A2C" w:rsidP="006B4717">
            <w:pPr>
              <w:pStyle w:val="TableBlock"/>
              <w:rPr>
                <w:rtl/>
              </w:rPr>
            </w:pPr>
            <w:r>
              <w:rPr>
                <w:rFonts w:hint="cs"/>
                <w:rtl/>
              </w:rPr>
              <w:t>(</w:t>
            </w:r>
            <w:r w:rsidR="006B4717">
              <w:rPr>
                <w:rFonts w:hint="cs"/>
                <w:rtl/>
              </w:rPr>
              <w:t>ד</w:t>
            </w:r>
            <w:r>
              <w:rPr>
                <w:rFonts w:hint="cs"/>
                <w:rtl/>
              </w:rPr>
              <w:t>)</w:t>
            </w:r>
            <w:r>
              <w:rPr>
                <w:rtl/>
              </w:rPr>
              <w:tab/>
              <w:t>עבירה</w:t>
            </w:r>
            <w:r w:rsidR="00F54E68">
              <w:rPr>
                <w:rFonts w:hint="cs"/>
                <w:rtl/>
              </w:rPr>
              <w:t xml:space="preserve"> כאמור בסעיף קטן (א) היא</w:t>
            </w:r>
            <w:r>
              <w:rPr>
                <w:rtl/>
              </w:rPr>
              <w:t xml:space="preserve"> עבירה מנהלית כ</w:t>
            </w:r>
            <w:r w:rsidR="00F54E68">
              <w:rPr>
                <w:rFonts w:hint="cs"/>
                <w:rtl/>
              </w:rPr>
              <w:t>משמעותה</w:t>
            </w:r>
            <w:r>
              <w:rPr>
                <w:rtl/>
              </w:rPr>
              <w:t xml:space="preserve"> בחוק העבירות המינהליות, </w:t>
            </w:r>
            <w:r w:rsidR="004E0750">
              <w:rPr>
                <w:rFonts w:hint="cs"/>
                <w:rtl/>
              </w:rPr>
              <w:t>ה</w:t>
            </w:r>
            <w:r w:rsidR="00C67AFE">
              <w:rPr>
                <w:rtl/>
              </w:rPr>
              <w:t>תשמ"ו</w:t>
            </w:r>
            <w:r w:rsidR="00C67AFE">
              <w:rPr>
                <w:rFonts w:hint="eastAsia"/>
                <w:rtl/>
              </w:rPr>
              <w:t>–</w:t>
            </w:r>
            <w:r w:rsidR="00C67AFE">
              <w:rPr>
                <w:rFonts w:hint="cs"/>
                <w:rtl/>
              </w:rPr>
              <w:t>1985</w:t>
            </w:r>
            <w:r w:rsidR="001E371A" w:rsidRPr="00C22A7A">
              <w:rPr>
                <w:rStyle w:val="a5"/>
                <w:rFonts w:ascii="David" w:hAnsi="David"/>
                <w:sz w:val="26"/>
                <w:rtl/>
              </w:rPr>
              <w:footnoteReference w:id="4"/>
            </w:r>
            <w:r>
              <w:rPr>
                <w:rtl/>
              </w:rPr>
              <w:t xml:space="preserve"> (להלן</w:t>
            </w:r>
            <w:r w:rsidR="00EA0D6C">
              <w:rPr>
                <w:rFonts w:hint="cs"/>
                <w:rtl/>
              </w:rPr>
              <w:t xml:space="preserve"> </w:t>
            </w:r>
            <w:r>
              <w:rPr>
                <w:rtl/>
              </w:rPr>
              <w:t>– חוק העבירות המינהליות)</w:t>
            </w:r>
            <w:r w:rsidR="00F54E68">
              <w:rPr>
                <w:rFonts w:hint="cs"/>
                <w:rtl/>
              </w:rPr>
              <w:t>, והוראות החוק האמור יחולו עליה בשינויים המחויבים</w:t>
            </w:r>
            <w:r>
              <w:rPr>
                <w:rtl/>
              </w:rPr>
              <w:t>.</w:t>
            </w:r>
          </w:p>
        </w:tc>
      </w:tr>
      <w:tr w:rsidR="00D8123B" w14:paraId="5BE9C554" w14:textId="77777777" w:rsidTr="00C22A7A">
        <w:trPr>
          <w:cantSplit/>
        </w:trPr>
        <w:tc>
          <w:tcPr>
            <w:tcW w:w="1871" w:type="dxa"/>
          </w:tcPr>
          <w:p w14:paraId="594F8F0F" w14:textId="77777777" w:rsidR="00D8123B" w:rsidRDefault="00D8123B">
            <w:pPr>
              <w:pStyle w:val="TableSideHeading"/>
            </w:pPr>
          </w:p>
        </w:tc>
        <w:tc>
          <w:tcPr>
            <w:tcW w:w="624" w:type="dxa"/>
          </w:tcPr>
          <w:p w14:paraId="5C302098" w14:textId="77777777" w:rsidR="00D8123B" w:rsidRDefault="00D8123B" w:rsidP="00D8123B">
            <w:pPr>
              <w:pStyle w:val="TableText"/>
            </w:pPr>
          </w:p>
        </w:tc>
        <w:tc>
          <w:tcPr>
            <w:tcW w:w="624" w:type="dxa"/>
          </w:tcPr>
          <w:p w14:paraId="3D5F4182" w14:textId="77777777" w:rsidR="00D8123B" w:rsidRDefault="00D8123B">
            <w:pPr>
              <w:pStyle w:val="TableText"/>
            </w:pPr>
          </w:p>
        </w:tc>
        <w:tc>
          <w:tcPr>
            <w:tcW w:w="624" w:type="dxa"/>
          </w:tcPr>
          <w:p w14:paraId="0A60ED59" w14:textId="77777777" w:rsidR="00D8123B" w:rsidRDefault="00D8123B">
            <w:pPr>
              <w:pStyle w:val="TableText"/>
            </w:pPr>
          </w:p>
        </w:tc>
        <w:tc>
          <w:tcPr>
            <w:tcW w:w="624" w:type="dxa"/>
          </w:tcPr>
          <w:p w14:paraId="437E2FFF" w14:textId="77777777" w:rsidR="00D8123B" w:rsidRDefault="00D8123B">
            <w:pPr>
              <w:pStyle w:val="TableText"/>
            </w:pPr>
          </w:p>
        </w:tc>
        <w:tc>
          <w:tcPr>
            <w:tcW w:w="624" w:type="dxa"/>
          </w:tcPr>
          <w:p w14:paraId="5B041A1C" w14:textId="77777777" w:rsidR="00D8123B" w:rsidRDefault="00D8123B">
            <w:pPr>
              <w:pStyle w:val="TableText"/>
            </w:pPr>
          </w:p>
        </w:tc>
        <w:tc>
          <w:tcPr>
            <w:tcW w:w="4647" w:type="dxa"/>
          </w:tcPr>
          <w:p w14:paraId="476A8128" w14:textId="24397323" w:rsidR="00D8123B" w:rsidRPr="004E0750" w:rsidRDefault="004E0750" w:rsidP="006B4717">
            <w:pPr>
              <w:pStyle w:val="TableBlock"/>
              <w:rPr>
                <w:rtl/>
              </w:rPr>
            </w:pPr>
            <w:r>
              <w:rPr>
                <w:rFonts w:hint="cs"/>
                <w:rtl/>
              </w:rPr>
              <w:t>(</w:t>
            </w:r>
            <w:r w:rsidR="006B4717">
              <w:rPr>
                <w:rFonts w:hint="cs"/>
                <w:rtl/>
              </w:rPr>
              <w:t>ה</w:t>
            </w:r>
            <w:r>
              <w:rPr>
                <w:rFonts w:hint="cs"/>
                <w:rtl/>
              </w:rPr>
              <w:t>)</w:t>
            </w:r>
            <w:r>
              <w:rPr>
                <w:rtl/>
              </w:rPr>
              <w:tab/>
            </w:r>
            <w:r w:rsidR="00F54E68">
              <w:rPr>
                <w:rFonts w:hint="cs"/>
                <w:rtl/>
              </w:rPr>
              <w:t xml:space="preserve">לעבירה מינהלית לפי סעיף קטן (א) יהיה </w:t>
            </w:r>
            <w:r>
              <w:rPr>
                <w:rtl/>
              </w:rPr>
              <w:t>קנס מינהלי קצוב ב</w:t>
            </w:r>
            <w:r w:rsidR="00F54E68">
              <w:rPr>
                <w:rFonts w:hint="cs"/>
                <w:rtl/>
              </w:rPr>
              <w:t>גובה</w:t>
            </w:r>
            <w:r>
              <w:rPr>
                <w:rtl/>
              </w:rPr>
              <w:t xml:space="preserve"> 1</w:t>
            </w:r>
            <w:r w:rsidR="00F54E68">
              <w:rPr>
                <w:rFonts w:hint="cs"/>
                <w:rtl/>
              </w:rPr>
              <w:t>,</w:t>
            </w:r>
            <w:r>
              <w:rPr>
                <w:rtl/>
              </w:rPr>
              <w:t>000 שקלים חדשים</w:t>
            </w:r>
            <w:r w:rsidR="00F54E68">
              <w:rPr>
                <w:rFonts w:hint="cs"/>
                <w:rtl/>
              </w:rPr>
              <w:t>,</w:t>
            </w:r>
            <w:r>
              <w:rPr>
                <w:rtl/>
              </w:rPr>
              <w:t xml:space="preserve"> </w:t>
            </w:r>
            <w:r w:rsidR="00F54E68">
              <w:rPr>
                <w:rFonts w:hint="cs"/>
                <w:rtl/>
              </w:rPr>
              <w:t xml:space="preserve">ובעבירה מינהלית חוזרת </w:t>
            </w:r>
            <w:r w:rsidR="00F54E68">
              <w:rPr>
                <w:rtl/>
              </w:rPr>
              <w:t>–</w:t>
            </w:r>
            <w:r w:rsidR="00F54E68">
              <w:rPr>
                <w:rFonts w:hint="cs"/>
                <w:rtl/>
              </w:rPr>
              <w:t xml:space="preserve"> כפל הקנס כאמור; בסעיף זה "עבירה מינהלית חוזרת" כמשמעותה בסעיף 2(ג) לחוק העבירות המינהליות.</w:t>
            </w:r>
          </w:p>
        </w:tc>
      </w:tr>
      <w:tr w:rsidR="00D8123B" w14:paraId="626BF774" w14:textId="77777777" w:rsidTr="00C22A7A">
        <w:trPr>
          <w:cantSplit/>
        </w:trPr>
        <w:tc>
          <w:tcPr>
            <w:tcW w:w="1871" w:type="dxa"/>
          </w:tcPr>
          <w:p w14:paraId="2089E8E9" w14:textId="6C95D532" w:rsidR="00D8123B" w:rsidRDefault="00D8123B">
            <w:pPr>
              <w:pStyle w:val="TableSideHeading"/>
            </w:pPr>
          </w:p>
        </w:tc>
        <w:tc>
          <w:tcPr>
            <w:tcW w:w="624" w:type="dxa"/>
          </w:tcPr>
          <w:p w14:paraId="65B8E49F" w14:textId="77777777" w:rsidR="00D8123B" w:rsidRDefault="00D8123B" w:rsidP="00D8123B">
            <w:pPr>
              <w:pStyle w:val="TableText"/>
            </w:pPr>
          </w:p>
        </w:tc>
        <w:tc>
          <w:tcPr>
            <w:tcW w:w="624" w:type="dxa"/>
          </w:tcPr>
          <w:p w14:paraId="01278786" w14:textId="77777777" w:rsidR="00D8123B" w:rsidRDefault="00D8123B">
            <w:pPr>
              <w:pStyle w:val="TableText"/>
            </w:pPr>
          </w:p>
        </w:tc>
        <w:tc>
          <w:tcPr>
            <w:tcW w:w="624" w:type="dxa"/>
          </w:tcPr>
          <w:p w14:paraId="6486D866" w14:textId="77777777" w:rsidR="00D8123B" w:rsidRDefault="00D8123B">
            <w:pPr>
              <w:pStyle w:val="TableText"/>
            </w:pPr>
          </w:p>
        </w:tc>
        <w:tc>
          <w:tcPr>
            <w:tcW w:w="624" w:type="dxa"/>
          </w:tcPr>
          <w:p w14:paraId="2428AE27" w14:textId="77777777" w:rsidR="00D8123B" w:rsidRDefault="00D8123B">
            <w:pPr>
              <w:pStyle w:val="TableText"/>
            </w:pPr>
          </w:p>
        </w:tc>
        <w:tc>
          <w:tcPr>
            <w:tcW w:w="624" w:type="dxa"/>
          </w:tcPr>
          <w:p w14:paraId="47ADDF17" w14:textId="77777777" w:rsidR="00D8123B" w:rsidRDefault="00D8123B">
            <w:pPr>
              <w:pStyle w:val="TableText"/>
            </w:pPr>
          </w:p>
        </w:tc>
        <w:tc>
          <w:tcPr>
            <w:tcW w:w="4647" w:type="dxa"/>
          </w:tcPr>
          <w:p w14:paraId="745455C9" w14:textId="4328573B" w:rsidR="00D8123B" w:rsidRDefault="004E0750" w:rsidP="006B4717">
            <w:pPr>
              <w:pStyle w:val="TableBlock"/>
              <w:rPr>
                <w:rtl/>
              </w:rPr>
            </w:pPr>
            <w:r>
              <w:rPr>
                <w:rFonts w:hint="cs"/>
                <w:rtl/>
              </w:rPr>
              <w:t>(</w:t>
            </w:r>
            <w:r w:rsidR="006B4717">
              <w:rPr>
                <w:rFonts w:hint="cs"/>
                <w:rtl/>
              </w:rPr>
              <w:t>ו</w:t>
            </w:r>
            <w:r>
              <w:rPr>
                <w:rFonts w:hint="cs"/>
                <w:rtl/>
              </w:rPr>
              <w:t>)</w:t>
            </w:r>
            <w:r>
              <w:rPr>
                <w:rtl/>
              </w:rPr>
              <w:tab/>
              <w:t>אין באמור בהוראות סעיף זה כדי לגרוע מסמכויות נוספות הנתונ</w:t>
            </w:r>
            <w:r w:rsidR="00F54E68">
              <w:rPr>
                <w:rFonts w:hint="cs"/>
                <w:rtl/>
              </w:rPr>
              <w:t>ות</w:t>
            </w:r>
            <w:r>
              <w:rPr>
                <w:rtl/>
              </w:rPr>
              <w:t xml:space="preserve"> </w:t>
            </w:r>
            <w:r w:rsidR="003119BB">
              <w:rPr>
                <w:rFonts w:hint="cs"/>
                <w:rtl/>
              </w:rPr>
              <w:t>לשוטר לפי</w:t>
            </w:r>
            <w:r>
              <w:rPr>
                <w:rtl/>
              </w:rPr>
              <w:t xml:space="preserve"> פקודה זו.</w:t>
            </w:r>
          </w:p>
        </w:tc>
      </w:tr>
      <w:tr w:rsidR="00D8123B" w14:paraId="50B33263" w14:textId="77777777" w:rsidTr="00C22A7A">
        <w:trPr>
          <w:cantSplit/>
        </w:trPr>
        <w:tc>
          <w:tcPr>
            <w:tcW w:w="1871" w:type="dxa"/>
          </w:tcPr>
          <w:p w14:paraId="0DA8AC44" w14:textId="77777777" w:rsidR="00D8123B" w:rsidRDefault="00D8123B">
            <w:pPr>
              <w:pStyle w:val="TableSideHeading"/>
            </w:pPr>
          </w:p>
        </w:tc>
        <w:tc>
          <w:tcPr>
            <w:tcW w:w="624" w:type="dxa"/>
          </w:tcPr>
          <w:p w14:paraId="1AE57550" w14:textId="77777777" w:rsidR="00D8123B" w:rsidRDefault="00D8123B" w:rsidP="00D8123B">
            <w:pPr>
              <w:pStyle w:val="TableText"/>
            </w:pPr>
          </w:p>
        </w:tc>
        <w:tc>
          <w:tcPr>
            <w:tcW w:w="624" w:type="dxa"/>
          </w:tcPr>
          <w:p w14:paraId="6FD231E9" w14:textId="77777777" w:rsidR="00D8123B" w:rsidRDefault="00D8123B">
            <w:pPr>
              <w:pStyle w:val="TableText"/>
            </w:pPr>
          </w:p>
        </w:tc>
        <w:tc>
          <w:tcPr>
            <w:tcW w:w="624" w:type="dxa"/>
          </w:tcPr>
          <w:p w14:paraId="6DD1AC28" w14:textId="77777777" w:rsidR="00D8123B" w:rsidRDefault="00D8123B">
            <w:pPr>
              <w:pStyle w:val="TableText"/>
            </w:pPr>
          </w:p>
        </w:tc>
        <w:tc>
          <w:tcPr>
            <w:tcW w:w="624" w:type="dxa"/>
          </w:tcPr>
          <w:p w14:paraId="1FC665C2" w14:textId="77777777" w:rsidR="00D8123B" w:rsidRDefault="00D8123B">
            <w:pPr>
              <w:pStyle w:val="TableText"/>
            </w:pPr>
          </w:p>
        </w:tc>
        <w:tc>
          <w:tcPr>
            <w:tcW w:w="624" w:type="dxa"/>
          </w:tcPr>
          <w:p w14:paraId="193A7442" w14:textId="77777777" w:rsidR="00D8123B" w:rsidRDefault="00D8123B">
            <w:pPr>
              <w:pStyle w:val="TableText"/>
            </w:pPr>
          </w:p>
        </w:tc>
        <w:tc>
          <w:tcPr>
            <w:tcW w:w="4647" w:type="dxa"/>
          </w:tcPr>
          <w:p w14:paraId="728AC4F7" w14:textId="15FDACEA" w:rsidR="00D8123B" w:rsidRDefault="004E0750" w:rsidP="006B4717">
            <w:pPr>
              <w:pStyle w:val="TableBlock"/>
              <w:rPr>
                <w:rtl/>
              </w:rPr>
            </w:pPr>
            <w:r>
              <w:rPr>
                <w:rFonts w:hint="cs"/>
                <w:rtl/>
              </w:rPr>
              <w:t>(</w:t>
            </w:r>
            <w:r w:rsidR="006B4717">
              <w:rPr>
                <w:rFonts w:hint="cs"/>
                <w:rtl/>
              </w:rPr>
              <w:t>ז</w:t>
            </w:r>
            <w:bookmarkStart w:id="8" w:name="_GoBack"/>
            <w:bookmarkEnd w:id="8"/>
            <w:r>
              <w:rPr>
                <w:rFonts w:hint="cs"/>
                <w:rtl/>
              </w:rPr>
              <w:t>)</w:t>
            </w:r>
            <w:r>
              <w:rPr>
                <w:rtl/>
              </w:rPr>
              <w:tab/>
            </w:r>
            <w:r w:rsidRPr="00C711DE">
              <w:rPr>
                <w:rtl/>
              </w:rPr>
              <w:t>לא יורה עובד ציבור על מדיניות אי</w:t>
            </w:r>
            <w:r w:rsidR="00C67AFE">
              <w:rPr>
                <w:rFonts w:hint="cs"/>
                <w:rtl/>
              </w:rPr>
              <w:t>־</w:t>
            </w:r>
            <w:r w:rsidRPr="00C711DE">
              <w:rPr>
                <w:rtl/>
              </w:rPr>
              <w:t>אכיפה על עבירות מינהליות הכלולות בסעיף זה.</w:t>
            </w:r>
            <w:r w:rsidR="00F54E68">
              <w:rPr>
                <w:rFonts w:hint="cs"/>
                <w:rtl/>
              </w:rPr>
              <w:t xml:space="preserve"> </w:t>
            </w:r>
          </w:p>
        </w:tc>
      </w:tr>
    </w:tbl>
    <w:p w14:paraId="7F6961CA" w14:textId="77777777" w:rsidR="002D1EE3" w:rsidRDefault="002D1EE3" w:rsidP="002D1EE3">
      <w:pPr>
        <w:pStyle w:val="HeadDivreiHesber"/>
        <w:rPr>
          <w:rtl/>
        </w:rPr>
      </w:pPr>
      <w:r w:rsidRPr="0027450A">
        <w:rPr>
          <w:rFonts w:hint="cs"/>
          <w:rtl/>
        </w:rPr>
        <w:t>דברי הסבר</w:t>
      </w:r>
    </w:p>
    <w:p w14:paraId="4AF10DED" w14:textId="77777777" w:rsidR="00F56858" w:rsidRDefault="00F56858" w:rsidP="00C22A7A">
      <w:pPr>
        <w:pStyle w:val="Hesber1st"/>
        <w:spacing w:line="240" w:lineRule="auto"/>
        <w:ind w:firstLine="680"/>
        <w:rPr>
          <w:rtl/>
        </w:rPr>
      </w:pPr>
      <w:r w:rsidRPr="00CB64A7">
        <w:rPr>
          <w:rtl/>
        </w:rPr>
        <w:t>זכות ההפגנה והתהלוכה היא מז</w:t>
      </w:r>
      <w:r>
        <w:rPr>
          <w:rtl/>
        </w:rPr>
        <w:t>כויות היסוד של האדם בישראל</w:t>
      </w:r>
      <w:r w:rsidRPr="00CB64A7">
        <w:rPr>
          <w:rtl/>
        </w:rPr>
        <w:t>. היא מוכרת, בצד חופש הביטוי או מכוחו, כשייכת לאותן חירויות המעצבות את אופי</w:t>
      </w:r>
      <w:r>
        <w:rPr>
          <w:rtl/>
        </w:rPr>
        <w:t>ו של המשטר בישראל כמשטר</w:t>
      </w:r>
      <w:r>
        <w:rPr>
          <w:rFonts w:hint="cs"/>
          <w:rtl/>
        </w:rPr>
        <w:t xml:space="preserve"> יהודי</w:t>
      </w:r>
      <w:r>
        <w:rPr>
          <w:rtl/>
        </w:rPr>
        <w:t xml:space="preserve"> </w:t>
      </w:r>
      <w:r>
        <w:rPr>
          <w:rFonts w:hint="cs"/>
          <w:rtl/>
        </w:rPr>
        <w:t>ו</w:t>
      </w:r>
      <w:r>
        <w:rPr>
          <w:rtl/>
        </w:rPr>
        <w:t>דמוקרטי</w:t>
      </w:r>
      <w:r>
        <w:rPr>
          <w:rFonts w:hint="cs"/>
          <w:rtl/>
        </w:rPr>
        <w:t>.</w:t>
      </w:r>
    </w:p>
    <w:p w14:paraId="4914CF2B" w14:textId="205A5BB3" w:rsidR="00F56858" w:rsidRDefault="00F56858" w:rsidP="00C22A7A">
      <w:pPr>
        <w:pStyle w:val="Hesber1st"/>
        <w:spacing w:line="240" w:lineRule="auto"/>
        <w:rPr>
          <w:rtl/>
        </w:rPr>
      </w:pPr>
      <w:r>
        <w:rPr>
          <w:rFonts w:hint="cs"/>
          <w:rtl/>
        </w:rPr>
        <w:t>יחד עם זאת, ב</w:t>
      </w:r>
      <w:r w:rsidRPr="00CB64A7">
        <w:rPr>
          <w:rtl/>
        </w:rPr>
        <w:t xml:space="preserve">פסיקת בית </w:t>
      </w:r>
      <w:r w:rsidR="00C67AFE">
        <w:rPr>
          <w:rFonts w:hint="cs"/>
          <w:rtl/>
        </w:rPr>
        <w:t>ה</w:t>
      </w:r>
      <w:r w:rsidRPr="00CB64A7">
        <w:rPr>
          <w:rtl/>
        </w:rPr>
        <w:t xml:space="preserve">משפט </w:t>
      </w:r>
      <w:r>
        <w:rPr>
          <w:rFonts w:hint="cs"/>
          <w:rtl/>
        </w:rPr>
        <w:t>העליון</w:t>
      </w:r>
      <w:r w:rsidR="00C67AFE">
        <w:rPr>
          <w:rtl/>
        </w:rPr>
        <w:t xml:space="preserve"> נקבע</w:t>
      </w:r>
      <w:r w:rsidR="00C67AFE">
        <w:rPr>
          <w:rFonts w:hint="cs"/>
          <w:rtl/>
        </w:rPr>
        <w:t xml:space="preserve"> </w:t>
      </w:r>
      <w:r w:rsidRPr="00CB64A7">
        <w:rPr>
          <w:rtl/>
        </w:rPr>
        <w:t>כי יש להבחין בין הפגנות הנערכות במקום ציבורי (דוגמת משרדי ממשלה, כיכר מ</w:t>
      </w:r>
      <w:r w:rsidR="00C67AFE">
        <w:rPr>
          <w:rtl/>
        </w:rPr>
        <w:t xml:space="preserve">רכזית, צומת ראשי וכיוצא באלה), </w:t>
      </w:r>
      <w:r w:rsidR="00C67AFE">
        <w:rPr>
          <w:rFonts w:hint="cs"/>
          <w:rtl/>
        </w:rPr>
        <w:t>ו</w:t>
      </w:r>
      <w:r w:rsidRPr="00CB64A7">
        <w:rPr>
          <w:rtl/>
        </w:rPr>
        <w:t>בין הפגנות הנערכות במפגיע מול בית פרטי של איש ציבור.</w:t>
      </w:r>
    </w:p>
    <w:p w14:paraId="29AC2F87" w14:textId="7D9D2456" w:rsidR="00F56858" w:rsidRDefault="00F56858" w:rsidP="00C22A7A">
      <w:pPr>
        <w:pStyle w:val="Hesber1st"/>
        <w:spacing w:line="240" w:lineRule="auto"/>
        <w:rPr>
          <w:rtl/>
        </w:rPr>
      </w:pPr>
      <w:r>
        <w:rPr>
          <w:rtl/>
        </w:rPr>
        <w:tab/>
      </w:r>
      <w:r>
        <w:rPr>
          <w:rFonts w:hint="cs"/>
          <w:rtl/>
        </w:rPr>
        <w:t>ב</w:t>
      </w:r>
      <w:r w:rsidRPr="00CB64A7">
        <w:rPr>
          <w:rtl/>
        </w:rPr>
        <w:t xml:space="preserve">בג"ץ 1983/17 </w:t>
      </w:r>
      <w:r w:rsidRPr="00C67AFE">
        <w:rPr>
          <w:b/>
          <w:bCs/>
          <w:rtl/>
        </w:rPr>
        <w:t>נפתלי נ' היועץ המשפטי לממשלה</w:t>
      </w:r>
      <w:r>
        <w:rPr>
          <w:rFonts w:hint="cs"/>
          <w:rtl/>
        </w:rPr>
        <w:t xml:space="preserve"> קבע כב' השופט בדימוס מזוז כי "</w:t>
      </w:r>
      <w:r w:rsidRPr="00CB64A7">
        <w:rPr>
          <w:rtl/>
        </w:rPr>
        <w:t>הפגנה או עצרת מחאה ליד מעונו הפרטי של איש ציבור, מקום שקיימת חלופה אפקטיבית (כגון משרדו), מקימה חזקה כי התכלית, לפחות העיקרית, של ההפגנה או משמרת המחאה אינה מימוש חופש הביטוי והמחאה אלא ניסיון להשפעה לא לגיטימית על איש הציבור במילוי תפקידו על ידי יצירת לחץ אישי עליו ועל בני משפחתו, כמבואר לעיל, ועל כן פעילות כזו אינה חוסה תחת ההגנה על חירות ההפגנה.</w:t>
      </w:r>
      <w:r>
        <w:rPr>
          <w:rFonts w:hint="cs"/>
          <w:rtl/>
        </w:rPr>
        <w:t>"</w:t>
      </w:r>
    </w:p>
    <w:p w14:paraId="4DA808A3" w14:textId="62AD0F2B" w:rsidR="00F56858" w:rsidRDefault="00F56858" w:rsidP="00C22A7A">
      <w:pPr>
        <w:pStyle w:val="Hesber1st"/>
        <w:spacing w:line="240" w:lineRule="auto"/>
        <w:rPr>
          <w:rtl/>
        </w:rPr>
      </w:pPr>
      <w:r>
        <w:rPr>
          <w:rtl/>
        </w:rPr>
        <w:tab/>
      </w:r>
      <w:r w:rsidR="00C67AFE">
        <w:rPr>
          <w:rFonts w:hint="cs"/>
          <w:rtl/>
        </w:rPr>
        <w:t xml:space="preserve">בהמשך אותו פסק </w:t>
      </w:r>
      <w:r>
        <w:rPr>
          <w:rFonts w:hint="cs"/>
          <w:rtl/>
        </w:rPr>
        <w:t>דין קבע כב' השופט בדימוס מזוז כי "</w:t>
      </w:r>
      <w:r w:rsidRPr="002F4B6D">
        <w:rPr>
          <w:rtl/>
        </w:rPr>
        <w:t>הפגנות, אסיפות, תהלוכות ומשמרות מחאה נועדו להגשים את חופש הביטוי והדעה ולהפיץ השקפות ודעות ולהשפיע על השיח הציבורי, ולא להפעיל לחץ פסול על עובדי ציבור על ידי הטרדתם בביתם הפרטי בניסיון לכפות עליהם החלטות שלפי מיטב שיפוטם אינן משרתות את האינטרס הציבורי. שיקול זה – בוודאי בהצטברו לשיקולים הנוספים של הגנה על הזכות לפרטיות של איש הציבור בבית מגוריו הפרטי ומניעת מטרד והפרעה לשגרת חייהם של איש הציבור, בני משפחתו ושכניו, כמו גם הזכות של אדם 'שיניחו לו לנפשו' בביתו ולא להיות 'קהל שבוי' למסרים של המפגינים – יש בהם כדי לבסס את הלגיטימיות של איסור על הפגנות ופעולות מחאה ליד מעונו הפרטי של איש ציבור, מקום שקיימת חלופה אפקטיבית באשר למקום קיום פעולות המחאה</w:t>
      </w:r>
      <w:r>
        <w:rPr>
          <w:rFonts w:hint="cs"/>
          <w:rtl/>
        </w:rPr>
        <w:t>."</w:t>
      </w:r>
    </w:p>
    <w:p w14:paraId="426030B4" w14:textId="4C1B3780" w:rsidR="00F56858" w:rsidRDefault="00F56858" w:rsidP="00C22A7A">
      <w:pPr>
        <w:pStyle w:val="Hesber1st"/>
        <w:spacing w:line="240" w:lineRule="auto"/>
        <w:rPr>
          <w:rtl/>
        </w:rPr>
      </w:pPr>
      <w:r>
        <w:rPr>
          <w:rtl/>
        </w:rPr>
        <w:tab/>
      </w:r>
      <w:r>
        <w:rPr>
          <w:rFonts w:hint="cs"/>
          <w:rtl/>
        </w:rPr>
        <w:t>ואכן, נדמה שבשנים האחרונות הפגנות מול ביתם הפרטי של אנשי ציבור הפכה ממש למכת מדינה, תוך פגיעה קשה ומתמשכת בזכותם של אנשי הציבור לפרטיות, תוך הקמת מטרדים ובניסיון להשפעה בלתי דמוקרטית על עמדתם הפוליטית.</w:t>
      </w:r>
    </w:p>
    <w:p w14:paraId="7F393AE9" w14:textId="4B2D140C" w:rsidR="00F56858" w:rsidRDefault="00F56858" w:rsidP="00C22A7A">
      <w:pPr>
        <w:pStyle w:val="Hesber1st"/>
        <w:spacing w:line="240" w:lineRule="auto"/>
        <w:rPr>
          <w:rtl/>
        </w:rPr>
      </w:pPr>
      <w:r>
        <w:rPr>
          <w:rtl/>
        </w:rPr>
        <w:tab/>
      </w:r>
      <w:r>
        <w:rPr>
          <w:rFonts w:hint="cs"/>
          <w:rtl/>
        </w:rPr>
        <w:t>לאורך השנים פסק בית המשפט העליון במספר מקרים של הפגנות מול או ליד ביתם של אנשי ציבור. כך ב</w:t>
      </w:r>
      <w:r w:rsidRPr="00EF34FE">
        <w:rPr>
          <w:rtl/>
        </w:rPr>
        <w:t xml:space="preserve">בג"ץ 5598/19 </w:t>
      </w:r>
      <w:r w:rsidRPr="00C67AFE">
        <w:rPr>
          <w:b/>
          <w:bCs/>
          <w:rtl/>
        </w:rPr>
        <w:t>עופר גור ואח', דיירים בבניינים המצויים בשדרות ההשכלה 17, תל אביב נ' משטרת מחוז ת"א</w:t>
      </w:r>
      <w:r w:rsidRPr="00EF34FE">
        <w:rPr>
          <w:rtl/>
        </w:rPr>
        <w:t xml:space="preserve"> </w:t>
      </w:r>
      <w:r>
        <w:rPr>
          <w:rFonts w:hint="cs"/>
          <w:rtl/>
        </w:rPr>
        <w:t xml:space="preserve">התיר בית המשפט העליון קיום </w:t>
      </w:r>
      <w:r w:rsidRPr="00EF34FE">
        <w:rPr>
          <w:rtl/>
        </w:rPr>
        <w:t xml:space="preserve">"מחאה שקטה בה ישתתפו עד חמישה אנשים </w:t>
      </w:r>
      <w:r>
        <w:rPr>
          <w:rFonts w:hint="cs"/>
          <w:rtl/>
        </w:rPr>
        <w:t>....</w:t>
      </w:r>
      <w:r w:rsidRPr="00EF34FE">
        <w:rPr>
          <w:rtl/>
        </w:rPr>
        <w:t xml:space="preserve"> במרחק של כ-150 מטרים מביתו של השר. </w:t>
      </w:r>
      <w:r>
        <w:rPr>
          <w:rtl/>
        </w:rPr>
        <w:t>הפגנה הכוללת שימוש באמצעי הגברה</w:t>
      </w:r>
      <w:r>
        <w:rPr>
          <w:rFonts w:hint="cs"/>
          <w:rtl/>
        </w:rPr>
        <w:t xml:space="preserve">.... </w:t>
      </w:r>
      <w:r w:rsidRPr="00EF34FE">
        <w:rPr>
          <w:rtl/>
        </w:rPr>
        <w:t>במרחק של כ-400 מטרים מביתו של השר."</w:t>
      </w:r>
    </w:p>
    <w:p w14:paraId="5195EE76" w14:textId="1B66F571" w:rsidR="00F56858" w:rsidRDefault="00F56858" w:rsidP="00C22A7A">
      <w:pPr>
        <w:pStyle w:val="Hesber1st"/>
        <w:spacing w:line="240" w:lineRule="auto"/>
        <w:rPr>
          <w:rtl/>
        </w:rPr>
      </w:pPr>
      <w:r>
        <w:rPr>
          <w:rtl/>
        </w:rPr>
        <w:tab/>
      </w:r>
      <w:r>
        <w:rPr>
          <w:rFonts w:hint="cs"/>
          <w:rtl/>
        </w:rPr>
        <w:t xml:space="preserve">בעניין </w:t>
      </w:r>
      <w:r w:rsidRPr="0065785F">
        <w:rPr>
          <w:rtl/>
        </w:rPr>
        <w:t xml:space="preserve">בג"ץ 5976/20 </w:t>
      </w:r>
      <w:r w:rsidRPr="00C67AFE">
        <w:rPr>
          <w:b/>
          <w:bCs/>
          <w:rtl/>
        </w:rPr>
        <w:t>התנועה למען איכות השלטון בישראל נ' משטרת ישראל</w:t>
      </w:r>
      <w:r>
        <w:rPr>
          <w:rtl/>
        </w:rPr>
        <w:t xml:space="preserve"> </w:t>
      </w:r>
      <w:r>
        <w:rPr>
          <w:rFonts w:hint="cs"/>
          <w:rtl/>
        </w:rPr>
        <w:t>הותרה הפגנה במרחק של 230 מטרים מביתו הפרטי של ראש הממשלה.</w:t>
      </w:r>
    </w:p>
    <w:p w14:paraId="7FE9FB68" w14:textId="717CDF5F" w:rsidR="00F56858" w:rsidRDefault="00F56858" w:rsidP="00C22A7A">
      <w:pPr>
        <w:pStyle w:val="Hesber1st"/>
        <w:spacing w:line="240" w:lineRule="auto"/>
        <w:rPr>
          <w:rtl/>
        </w:rPr>
      </w:pPr>
      <w:r>
        <w:rPr>
          <w:rtl/>
        </w:rPr>
        <w:tab/>
      </w:r>
      <w:r>
        <w:rPr>
          <w:rFonts w:hint="cs"/>
          <w:rtl/>
        </w:rPr>
        <w:t>לנוכח הקושי של המשטרה לאכוף את הדין על המפגינים ולפזר הפגנה או התקהלות בלתי חוקית מול ביתו של איש ציבור, במיוחד בהינתן שבשנים האחרונות רבות מההפגנות מול ביתם של אנשי ציבור נערכת באופן חוזר ונשנה, ולעיתים אף באופן יומיומי, מוצע ליתן למשטרה כלים נוספים לאכוף את החוק.</w:t>
      </w:r>
    </w:p>
    <w:p w14:paraId="7F6961CB" w14:textId="27B7EE70" w:rsidR="00E13C27" w:rsidRDefault="00F56858" w:rsidP="00C22A7A">
      <w:pPr>
        <w:pStyle w:val="Hesber1st"/>
        <w:spacing w:line="240" w:lineRule="auto"/>
        <w:rPr>
          <w:rtl/>
        </w:rPr>
      </w:pPr>
      <w:r>
        <w:rPr>
          <w:rtl/>
        </w:rPr>
        <w:tab/>
      </w:r>
      <w:r>
        <w:rPr>
          <w:rFonts w:hint="cs"/>
          <w:rtl/>
        </w:rPr>
        <w:t xml:space="preserve">על כן, מוצע ליתן לשוטר סמכות להטיל קנס מינהלי קצוב </w:t>
      </w:r>
      <w:r w:rsidRPr="00C06583">
        <w:rPr>
          <w:rtl/>
        </w:rPr>
        <w:t xml:space="preserve">כאמור בחוק העבירות המינהליות, </w:t>
      </w:r>
      <w:r w:rsidR="003119BB">
        <w:rPr>
          <w:rFonts w:hint="cs"/>
          <w:rtl/>
        </w:rPr>
        <w:t>ה</w:t>
      </w:r>
      <w:r w:rsidRPr="00C06583">
        <w:rPr>
          <w:rtl/>
        </w:rPr>
        <w:t>תשמ"ו</w:t>
      </w:r>
      <w:r w:rsidR="003119BB">
        <w:rPr>
          <w:rFonts w:hint="cs"/>
          <w:rtl/>
        </w:rPr>
        <w:t>–</w:t>
      </w:r>
      <w:r w:rsidRPr="00C06583">
        <w:rPr>
          <w:rtl/>
        </w:rPr>
        <w:t>1985</w:t>
      </w:r>
      <w:r w:rsidR="00C67AFE">
        <w:rPr>
          <w:rFonts w:hint="cs"/>
          <w:rtl/>
        </w:rPr>
        <w:t xml:space="preserve">, </w:t>
      </w:r>
      <w:r>
        <w:rPr>
          <w:rFonts w:hint="cs"/>
          <w:rtl/>
        </w:rPr>
        <w:t>בסך 1000 שקלים חדשים על אדם המשתתף בהתקהלות בלתי חוקית מול ביתו הפרטי של איש ציבור וכן לקבוע כפל קנס במקרה של עבירה חוזרת. הצעת חוק זו אף מאמצת את המרחק המינימלי אותו התיר בית המשפט העליון להפגנה מול או ליד ביתו של איש ציבור על מנת ליישם את הוראות הדין בדרך של חקיקה ראשית.</w:t>
      </w:r>
    </w:p>
    <w:p w14:paraId="68EF119B" w14:textId="77777777" w:rsidR="00C22A7A" w:rsidRDefault="00C22A7A" w:rsidP="00C22A7A">
      <w:pPr>
        <w:pStyle w:val="Hesber1st"/>
        <w:spacing w:line="240" w:lineRule="auto"/>
        <w:rPr>
          <w:rtl/>
        </w:rPr>
      </w:pPr>
    </w:p>
    <w:p w14:paraId="36834D96" w14:textId="77777777" w:rsidR="00C22A7A" w:rsidRDefault="00C22A7A" w:rsidP="00C22A7A">
      <w:pPr>
        <w:pStyle w:val="Hesber1st"/>
        <w:spacing w:line="240" w:lineRule="auto"/>
        <w:rPr>
          <w:rtl/>
        </w:rPr>
      </w:pPr>
    </w:p>
    <w:p w14:paraId="66444B02" w14:textId="77777777" w:rsidR="00C22A7A" w:rsidRDefault="00C22A7A" w:rsidP="00C22A7A">
      <w:pPr>
        <w:pStyle w:val="Hesber1st"/>
        <w:spacing w:line="240" w:lineRule="auto"/>
        <w:rPr>
          <w:rtl/>
        </w:rPr>
      </w:pPr>
    </w:p>
    <w:p w14:paraId="64FE6B8F" w14:textId="77777777" w:rsidR="00C22A7A" w:rsidRDefault="00C22A7A" w:rsidP="00C22A7A">
      <w:pPr>
        <w:pStyle w:val="Hesber1st"/>
        <w:spacing w:line="240" w:lineRule="auto"/>
        <w:rPr>
          <w:rtl/>
        </w:rPr>
      </w:pPr>
    </w:p>
    <w:p w14:paraId="4E2541EE" w14:textId="77777777" w:rsidR="00DE0596" w:rsidRDefault="00C22A7A" w:rsidP="00C22A7A">
      <w:pPr>
        <w:spacing w:line="240" w:lineRule="auto"/>
        <w:jc w:val="left"/>
      </w:pPr>
      <w:bookmarkStart w:id="9" w:name="selectedDocDateB"/>
      <w:bookmarkEnd w:id="9"/>
      <w:r>
        <w:rPr>
          <w:rFonts w:eastAsia="David" w:hint="cs"/>
          <w:sz w:val="26"/>
          <w:szCs w:val="26"/>
          <w:rtl/>
        </w:rPr>
        <w:t>--------------------------------</w:t>
      </w:r>
    </w:p>
    <w:p w14:paraId="065F2127" w14:textId="77777777" w:rsidR="00DE0596" w:rsidRDefault="00C22A7A" w:rsidP="00C22A7A">
      <w:pPr>
        <w:spacing w:line="240" w:lineRule="auto"/>
        <w:jc w:val="left"/>
      </w:pPr>
      <w:r>
        <w:rPr>
          <w:rFonts w:eastAsia="David" w:hint="cs"/>
          <w:sz w:val="26"/>
          <w:szCs w:val="26"/>
          <w:rtl/>
        </w:rPr>
        <w:t>הוגשה ליו"ר הכנסת והסגנים</w:t>
      </w:r>
    </w:p>
    <w:p w14:paraId="0A8798E8" w14:textId="77777777" w:rsidR="00DE0596" w:rsidRDefault="00C22A7A" w:rsidP="00C22A7A">
      <w:pPr>
        <w:spacing w:line="240" w:lineRule="auto"/>
        <w:jc w:val="left"/>
      </w:pPr>
      <w:r>
        <w:rPr>
          <w:rFonts w:eastAsia="David" w:hint="cs"/>
          <w:sz w:val="26"/>
          <w:szCs w:val="26"/>
          <w:rtl/>
        </w:rPr>
        <w:t>והונחה על שולחן הכנסת ביום</w:t>
      </w:r>
    </w:p>
    <w:p w14:paraId="0F01B78E" w14:textId="77777777" w:rsidR="00DE0596" w:rsidRDefault="00C22A7A" w:rsidP="00C22A7A">
      <w:pPr>
        <w:spacing w:line="240" w:lineRule="auto"/>
        <w:jc w:val="left"/>
      </w:pPr>
      <w:r>
        <w:rPr>
          <w:rFonts w:eastAsia="David" w:hint="cs"/>
          <w:sz w:val="26"/>
          <w:szCs w:val="26"/>
          <w:rtl/>
        </w:rPr>
        <w:t xml:space="preserve">י"ד בתמוז התשפ"ג (03.07.2023) </w:t>
      </w:r>
    </w:p>
    <w:sectPr w:rsidR="00DE0596" w:rsidSect="00C22A7A">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adasa Roso SL">
    <w:altName w:val="Times New Roman"/>
    <w:charset w:val="00"/>
    <w:family w:val="roman"/>
    <w:pitch w:val="variable"/>
    <w:sig w:usb0="80001827" w:usb1="5000004A" w:usb2="0000002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16CB9F3D"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6B4717">
      <w:rPr>
        <w:rStyle w:val="aa"/>
        <w:noProof/>
        <w:rtl/>
      </w:rPr>
      <w:t>3</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C22A7A">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4BCE3E0" w14:textId="5A94DF9F" w:rsidR="00AD593A" w:rsidRDefault="00AD593A" w:rsidP="004F7D9F">
      <w:pPr>
        <w:pStyle w:val="a4"/>
      </w:pPr>
      <w:r>
        <w:rPr>
          <w:rStyle w:val="a5"/>
        </w:rPr>
        <w:footnoteRef/>
      </w:r>
      <w:r>
        <w:rPr>
          <w:rtl/>
        </w:rPr>
        <w:t xml:space="preserve"> </w:t>
      </w:r>
      <w:r w:rsidR="004F7D9F">
        <w:rPr>
          <w:rFonts w:hint="cs"/>
          <w:rtl/>
        </w:rPr>
        <w:t>דיני מדינת ישראל, נוסח חדש 17, עמ' 390</w:t>
      </w:r>
      <w:r>
        <w:rPr>
          <w:rFonts w:hint="cs"/>
          <w:rtl/>
        </w:rPr>
        <w:t xml:space="preserve">. </w:t>
      </w:r>
    </w:p>
  </w:footnote>
  <w:footnote w:id="3">
    <w:p w14:paraId="6A710EF1" w14:textId="02F2DAEC" w:rsidR="004E0750" w:rsidRDefault="004E0750" w:rsidP="00A67FAB">
      <w:pPr>
        <w:pStyle w:val="a4"/>
      </w:pPr>
      <w:r>
        <w:rPr>
          <w:rStyle w:val="a5"/>
        </w:rPr>
        <w:footnoteRef/>
      </w:r>
      <w:r>
        <w:rPr>
          <w:rtl/>
        </w:rPr>
        <w:t xml:space="preserve"> </w:t>
      </w:r>
      <w:r>
        <w:rPr>
          <w:rFonts w:hint="cs"/>
          <w:rtl/>
        </w:rPr>
        <w:t>ס"ח התשכ"א, עמ' 58.</w:t>
      </w:r>
    </w:p>
  </w:footnote>
  <w:footnote w:id="4">
    <w:p w14:paraId="0FCCB4F6" w14:textId="389EF4D6" w:rsidR="001E371A" w:rsidRDefault="001E371A" w:rsidP="00A67FAB">
      <w:pPr>
        <w:pStyle w:val="a4"/>
      </w:pPr>
      <w:r>
        <w:rPr>
          <w:rStyle w:val="a5"/>
        </w:rPr>
        <w:footnoteRef/>
      </w:r>
      <w:r>
        <w:rPr>
          <w:rtl/>
        </w:rPr>
        <w:t xml:space="preserve"> </w:t>
      </w:r>
      <w:r>
        <w:rPr>
          <w:rFonts w:hint="cs"/>
          <w:rtl/>
        </w:rPr>
        <w:t xml:space="preserve">ס"ח התשמ"ו, עמ' 31.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E24F72"/>
    <w:multiLevelType w:val="hybridMultilevel"/>
    <w:tmpl w:val="7704420A"/>
    <w:lvl w:ilvl="0" w:tplc="FEA834A6">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4271D0"/>
    <w:multiLevelType w:val="hybridMultilevel"/>
    <w:tmpl w:val="7704420A"/>
    <w:lvl w:ilvl="0" w:tplc="FEA834A6">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B1168E5"/>
    <w:multiLevelType w:val="hybridMultilevel"/>
    <w:tmpl w:val="793EAF10"/>
    <w:lvl w:ilvl="0" w:tplc="314A4632">
      <w:start w:val="1"/>
      <w:numFmt w:val="decimal"/>
      <w:lvlText w:val="%1."/>
      <w:lvlJc w:val="left"/>
      <w:pPr>
        <w:ind w:left="820" w:hanging="360"/>
      </w:pPr>
      <w:rPr>
        <w:rFonts w:hint="default"/>
        <w:sz w:val="26"/>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7" w15:restartNumberingAfterBreak="0">
    <w:nsid w:val="6B543EAA"/>
    <w:multiLevelType w:val="hybridMultilevel"/>
    <w:tmpl w:val="36EA3ECC"/>
    <w:lvl w:ilvl="0" w:tplc="A02E9046">
      <w:start w:val="1"/>
      <w:numFmt w:val="hebrew1"/>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CC571A"/>
    <w:multiLevelType w:val="hybridMultilevel"/>
    <w:tmpl w:val="7704420A"/>
    <w:lvl w:ilvl="0" w:tplc="FEA834A6">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9"/>
  </w:num>
  <w:num w:numId="13">
    <w:abstractNumId w:val="11"/>
  </w:num>
  <w:num w:numId="14">
    <w:abstractNumId w:val="20"/>
  </w:num>
  <w:num w:numId="15">
    <w:abstractNumId w:val="1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8"/>
  </w:num>
  <w:num w:numId="19">
    <w:abstractNumId w:val="12"/>
  </w:num>
  <w:num w:numId="20">
    <w:abstractNumId w:val="15"/>
  </w:num>
  <w:num w:numId="21">
    <w:abstractNumId w:val="15"/>
    <w:lvlOverride w:ilvl="0">
      <w:startOverride w:val="1"/>
    </w:lvlOverride>
  </w:num>
  <w:num w:numId="22">
    <w:abstractNumId w:val="10"/>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34062"/>
    <w:rsid w:val="00140E81"/>
    <w:rsid w:val="0014195F"/>
    <w:rsid w:val="00152609"/>
    <w:rsid w:val="00153E1B"/>
    <w:rsid w:val="001A0623"/>
    <w:rsid w:val="001C23B0"/>
    <w:rsid w:val="001D4A2C"/>
    <w:rsid w:val="001D7AAF"/>
    <w:rsid w:val="001E371A"/>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119BB"/>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0750"/>
    <w:rsid w:val="004E4552"/>
    <w:rsid w:val="004E6CDF"/>
    <w:rsid w:val="004F7D9F"/>
    <w:rsid w:val="005078E5"/>
    <w:rsid w:val="00553C9D"/>
    <w:rsid w:val="00562A66"/>
    <w:rsid w:val="005911B6"/>
    <w:rsid w:val="005B064E"/>
    <w:rsid w:val="005D51AE"/>
    <w:rsid w:val="0062674B"/>
    <w:rsid w:val="006363B2"/>
    <w:rsid w:val="00644940"/>
    <w:rsid w:val="006818A9"/>
    <w:rsid w:val="006A2D81"/>
    <w:rsid w:val="006B4717"/>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67FAB"/>
    <w:rsid w:val="00A82CB7"/>
    <w:rsid w:val="00A942C1"/>
    <w:rsid w:val="00AA2F03"/>
    <w:rsid w:val="00AC36F7"/>
    <w:rsid w:val="00AC63A4"/>
    <w:rsid w:val="00AD239E"/>
    <w:rsid w:val="00AD593A"/>
    <w:rsid w:val="00B10265"/>
    <w:rsid w:val="00B16A99"/>
    <w:rsid w:val="00B21211"/>
    <w:rsid w:val="00B35784"/>
    <w:rsid w:val="00B733A7"/>
    <w:rsid w:val="00B75C91"/>
    <w:rsid w:val="00B975AD"/>
    <w:rsid w:val="00BC45FB"/>
    <w:rsid w:val="00BF148D"/>
    <w:rsid w:val="00C00F49"/>
    <w:rsid w:val="00C22A7A"/>
    <w:rsid w:val="00C23B1A"/>
    <w:rsid w:val="00C310EB"/>
    <w:rsid w:val="00C67AFE"/>
    <w:rsid w:val="00C711DE"/>
    <w:rsid w:val="00C9176A"/>
    <w:rsid w:val="00CD53B1"/>
    <w:rsid w:val="00CF1AA2"/>
    <w:rsid w:val="00D142D3"/>
    <w:rsid w:val="00D17774"/>
    <w:rsid w:val="00D63620"/>
    <w:rsid w:val="00D8123B"/>
    <w:rsid w:val="00D8410D"/>
    <w:rsid w:val="00D867D7"/>
    <w:rsid w:val="00D957C8"/>
    <w:rsid w:val="00DB7060"/>
    <w:rsid w:val="00DE0596"/>
    <w:rsid w:val="00DE3153"/>
    <w:rsid w:val="00E06736"/>
    <w:rsid w:val="00E13C27"/>
    <w:rsid w:val="00E33BBD"/>
    <w:rsid w:val="00E374F2"/>
    <w:rsid w:val="00E45103"/>
    <w:rsid w:val="00E54D1F"/>
    <w:rsid w:val="00E55A60"/>
    <w:rsid w:val="00E62778"/>
    <w:rsid w:val="00E635A2"/>
    <w:rsid w:val="00E63D38"/>
    <w:rsid w:val="00E665B9"/>
    <w:rsid w:val="00EA01E6"/>
    <w:rsid w:val="00EA0D6C"/>
    <w:rsid w:val="00EA3DE8"/>
    <w:rsid w:val="00EA758F"/>
    <w:rsid w:val="00ED4A6F"/>
    <w:rsid w:val="00EF3A3A"/>
    <w:rsid w:val="00F545B8"/>
    <w:rsid w:val="00F54E68"/>
    <w:rsid w:val="00F56858"/>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7DB07DCD-40D6-416B-A8E2-74E07427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A7A"/>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C22A7A"/>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C22A7A"/>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C22A7A"/>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C22A7A"/>
    <w:pPr>
      <w:numPr>
        <w:numId w:val="23"/>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C22A7A"/>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C22A7A"/>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C22A7A"/>
    <w:rPr>
      <w:sz w:val="36"/>
      <w:szCs w:val="52"/>
    </w:rPr>
  </w:style>
  <w:style w:type="paragraph" w:customStyle="1" w:styleId="Cover3-Haknesset">
    <w:name w:val="Cover 3-Haknesset"/>
    <w:basedOn w:val="Cover1-Reshumot"/>
    <w:rsid w:val="00C22A7A"/>
    <w:rPr>
      <w:b/>
      <w:bCs/>
      <w:spacing w:val="60"/>
    </w:rPr>
  </w:style>
  <w:style w:type="paragraph" w:customStyle="1" w:styleId="Cover4-Date">
    <w:name w:val="Cover 4-Date"/>
    <w:basedOn w:val="a"/>
    <w:rsid w:val="00C22A7A"/>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C22A7A"/>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C22A7A"/>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C22A7A"/>
    <w:pPr>
      <w:spacing w:before="120" w:after="120"/>
    </w:pPr>
    <w:rPr>
      <w:color w:val="FF0000"/>
      <w:w w:val="80"/>
    </w:rPr>
  </w:style>
  <w:style w:type="paragraph" w:styleId="a3">
    <w:name w:val="endnote text"/>
    <w:basedOn w:val="a"/>
    <w:semiHidden/>
    <w:rsid w:val="00C22A7A"/>
    <w:pPr>
      <w:ind w:left="227" w:hanging="227"/>
    </w:pPr>
    <w:rPr>
      <w:sz w:val="14"/>
      <w:szCs w:val="22"/>
    </w:rPr>
  </w:style>
  <w:style w:type="paragraph" w:customStyle="1" w:styleId="TableText">
    <w:name w:val="Table Text"/>
    <w:basedOn w:val="a"/>
    <w:rsid w:val="00C22A7A"/>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C22A7A"/>
    <w:pPr>
      <w:outlineLvl w:val="2"/>
    </w:pPr>
  </w:style>
  <w:style w:type="paragraph" w:customStyle="1" w:styleId="TableBlock">
    <w:name w:val="Table Block"/>
    <w:basedOn w:val="TableText"/>
    <w:rsid w:val="00C22A7A"/>
    <w:pPr>
      <w:jc w:val="both"/>
    </w:pPr>
  </w:style>
  <w:style w:type="paragraph" w:customStyle="1" w:styleId="TableHead">
    <w:name w:val="Table Head"/>
    <w:basedOn w:val="TableText"/>
    <w:rsid w:val="00C22A7A"/>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C22A7A"/>
    <w:pPr>
      <w:outlineLvl w:val="9"/>
    </w:pPr>
  </w:style>
  <w:style w:type="paragraph" w:customStyle="1" w:styleId="Hesber">
    <w:name w:val="Hesber"/>
    <w:basedOn w:val="a"/>
    <w:rsid w:val="00C22A7A"/>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C22A7A"/>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C22A7A"/>
    <w:rPr>
      <w:vertAlign w:val="superscript"/>
    </w:rPr>
  </w:style>
  <w:style w:type="paragraph" w:customStyle="1" w:styleId="HesberHeading">
    <w:name w:val="Hesber Heading"/>
    <w:basedOn w:val="Hesber"/>
    <w:rsid w:val="00C22A7A"/>
    <w:pPr>
      <w:tabs>
        <w:tab w:val="left" w:pos="624"/>
        <w:tab w:val="left" w:pos="1247"/>
      </w:tabs>
    </w:pPr>
    <w:rPr>
      <w:b/>
      <w:bCs/>
    </w:rPr>
  </w:style>
  <w:style w:type="paragraph" w:customStyle="1" w:styleId="HesberWriters">
    <w:name w:val="Hesber Writers"/>
    <w:basedOn w:val="Hesber"/>
    <w:rsid w:val="00C22A7A"/>
    <w:pPr>
      <w:spacing w:before="120" w:after="120"/>
      <w:ind w:left="1418"/>
      <w:jc w:val="right"/>
    </w:pPr>
    <w:rPr>
      <w:b/>
      <w:bCs/>
    </w:rPr>
  </w:style>
  <w:style w:type="paragraph" w:customStyle="1" w:styleId="Hesber1st">
    <w:name w:val="Hesber 1st"/>
    <w:basedOn w:val="Hesber"/>
    <w:rsid w:val="00C22A7A"/>
    <w:pPr>
      <w:tabs>
        <w:tab w:val="left" w:pos="680"/>
        <w:tab w:val="left" w:pos="1020"/>
      </w:tabs>
      <w:ind w:firstLine="0"/>
    </w:pPr>
  </w:style>
  <w:style w:type="character" w:styleId="a6">
    <w:name w:val="endnote reference"/>
    <w:basedOn w:val="a0"/>
    <w:semiHidden/>
    <w:rsid w:val="00C22A7A"/>
    <w:rPr>
      <w:vertAlign w:val="superscript"/>
    </w:rPr>
  </w:style>
  <w:style w:type="paragraph" w:customStyle="1" w:styleId="TableBlockOutdent">
    <w:name w:val="Table BlockOutdent"/>
    <w:basedOn w:val="TableBlock"/>
    <w:rsid w:val="00C22A7A"/>
    <w:pPr>
      <w:ind w:left="624" w:hanging="624"/>
    </w:pPr>
  </w:style>
  <w:style w:type="paragraph" w:styleId="a7">
    <w:name w:val="header"/>
    <w:basedOn w:val="a"/>
    <w:rsid w:val="00C22A7A"/>
    <w:pPr>
      <w:tabs>
        <w:tab w:val="center" w:pos="4153"/>
        <w:tab w:val="right" w:pos="8306"/>
      </w:tabs>
    </w:pPr>
  </w:style>
  <w:style w:type="paragraph" w:styleId="a8">
    <w:name w:val="footer"/>
    <w:basedOn w:val="a"/>
    <w:rsid w:val="00C22A7A"/>
    <w:pPr>
      <w:tabs>
        <w:tab w:val="center" w:pos="4153"/>
        <w:tab w:val="right" w:pos="8306"/>
      </w:tabs>
    </w:pPr>
  </w:style>
  <w:style w:type="paragraph" w:customStyle="1" w:styleId="HeadDivreiHesber">
    <w:name w:val="Head DivreiHesber"/>
    <w:basedOn w:val="a"/>
    <w:rsid w:val="00C22A7A"/>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C22A7A"/>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C22A7A"/>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paragraph" w:styleId="ad">
    <w:name w:val="Revision"/>
    <w:hidden/>
    <w:uiPriority w:val="99"/>
    <w:semiHidden/>
    <w:rsid w:val="005078E5"/>
    <w:rPr>
      <w:rFonts w:ascii="Hadasa Roso SL" w:hAnsi="Hadasa Roso SL" w:cs="Hadasa Roso SL"/>
      <w:color w:val="000000"/>
      <w:spacing w:val="1"/>
      <w:sz w:val="17"/>
      <w:szCs w:val="17"/>
      <w:lang w:eastAsia="ja-JP"/>
    </w:rPr>
  </w:style>
  <w:style w:type="character" w:customStyle="1" w:styleId="10">
    <w:name w:val="כותרת 1 תו"/>
    <w:basedOn w:val="a0"/>
    <w:link w:val="1"/>
    <w:uiPriority w:val="9"/>
    <w:rsid w:val="00C22A7A"/>
    <w:rPr>
      <w:rFonts w:asciiTheme="majorHAnsi" w:eastAsiaTheme="majorEastAsia" w:hAnsiTheme="majorHAnsi" w:cs="David"/>
      <w:bCs/>
      <w:sz w:val="32"/>
      <w:szCs w:val="36"/>
    </w:rPr>
  </w:style>
  <w:style w:type="character" w:customStyle="1" w:styleId="20">
    <w:name w:val="כותרת 2 תו"/>
    <w:basedOn w:val="a0"/>
    <w:link w:val="2"/>
    <w:rsid w:val="00C22A7A"/>
    <w:rPr>
      <w:rFonts w:asciiTheme="majorHAnsi" w:eastAsiaTheme="majorEastAsia" w:hAnsiTheme="majorHAnsi" w:cs="David"/>
      <w:bCs/>
      <w:sz w:val="26"/>
      <w:szCs w:val="36"/>
      <w:u w:val="single"/>
    </w:rPr>
  </w:style>
  <w:style w:type="character" w:customStyle="1" w:styleId="30">
    <w:name w:val="כותרת 3 תו"/>
    <w:basedOn w:val="a0"/>
    <w:link w:val="3"/>
    <w:rsid w:val="00C22A7A"/>
    <w:rPr>
      <w:rFonts w:asciiTheme="majorHAnsi" w:eastAsiaTheme="majorEastAsia" w:hAnsiTheme="majorHAnsi" w:cs="David"/>
      <w:sz w:val="24"/>
      <w:szCs w:val="28"/>
      <w:u w:val="double"/>
    </w:rPr>
  </w:style>
  <w:style w:type="character" w:customStyle="1" w:styleId="40">
    <w:name w:val="כותרת 4 תו"/>
    <w:basedOn w:val="a0"/>
    <w:link w:val="4"/>
    <w:uiPriority w:val="9"/>
    <w:rsid w:val="00C22A7A"/>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C22A7A"/>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C22A7A"/>
    <w:pPr>
      <w:widowControl/>
      <w:spacing w:before="120" w:after="120"/>
      <w:outlineLvl w:val="9"/>
    </w:pPr>
    <w:rPr>
      <w:rtl/>
      <w:cs/>
    </w:rPr>
  </w:style>
  <w:style w:type="paragraph" w:styleId="TOC1">
    <w:name w:val="toc 1"/>
    <w:basedOn w:val="a"/>
    <w:next w:val="a"/>
    <w:autoRedefine/>
    <w:uiPriority w:val="39"/>
    <w:unhideWhenUsed/>
    <w:rsid w:val="00C22A7A"/>
    <w:pPr>
      <w:tabs>
        <w:tab w:val="right" w:leader="dot" w:pos="9629"/>
      </w:tabs>
      <w:spacing w:after="100"/>
    </w:pPr>
    <w:rPr>
      <w:bCs/>
      <w:szCs w:val="22"/>
    </w:rPr>
  </w:style>
  <w:style w:type="paragraph" w:styleId="TOC2">
    <w:name w:val="toc 2"/>
    <w:basedOn w:val="a"/>
    <w:next w:val="a"/>
    <w:uiPriority w:val="39"/>
    <w:unhideWhenUsed/>
    <w:rsid w:val="00C22A7A"/>
    <w:pPr>
      <w:tabs>
        <w:tab w:val="right" w:leader="dot" w:pos="9628"/>
      </w:tabs>
      <w:spacing w:after="100"/>
    </w:pPr>
    <w:rPr>
      <w:szCs w:val="22"/>
    </w:rPr>
  </w:style>
  <w:style w:type="character" w:styleId="Hyperlink">
    <w:name w:val="Hyperlink"/>
    <w:basedOn w:val="a0"/>
    <w:uiPriority w:val="99"/>
    <w:unhideWhenUsed/>
    <w:rsid w:val="00C22A7A"/>
    <w:rPr>
      <w:color w:val="0000FF" w:themeColor="hyperlink"/>
      <w:u w:val="single"/>
    </w:rPr>
  </w:style>
  <w:style w:type="paragraph" w:styleId="TOC3">
    <w:name w:val="toc 3"/>
    <w:basedOn w:val="a"/>
    <w:next w:val="a"/>
    <w:uiPriority w:val="39"/>
    <w:unhideWhenUsed/>
    <w:rsid w:val="00C22A7A"/>
    <w:pPr>
      <w:tabs>
        <w:tab w:val="right" w:leader="dot" w:pos="9629"/>
      </w:tabs>
      <w:spacing w:after="100"/>
      <w:ind w:left="567"/>
    </w:pPr>
    <w:rPr>
      <w:szCs w:val="22"/>
    </w:rPr>
  </w:style>
  <w:style w:type="paragraph" w:styleId="TOC4">
    <w:name w:val="toc 4"/>
    <w:basedOn w:val="a"/>
    <w:next w:val="a"/>
    <w:autoRedefine/>
    <w:unhideWhenUsed/>
    <w:qFormat/>
    <w:rsid w:val="00C22A7A"/>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C22A7A"/>
    <w:pPr>
      <w:tabs>
        <w:tab w:val="right" w:leader="dot" w:pos="9628"/>
      </w:tabs>
      <w:spacing w:after="100"/>
      <w:ind w:left="567"/>
    </w:pPr>
    <w:rPr>
      <w:szCs w:val="22"/>
    </w:rPr>
  </w:style>
  <w:style w:type="paragraph" w:styleId="TOC6">
    <w:name w:val="toc 6"/>
    <w:basedOn w:val="a"/>
    <w:next w:val="a"/>
    <w:autoRedefine/>
    <w:semiHidden/>
    <w:unhideWhenUsed/>
    <w:rsid w:val="00C22A7A"/>
    <w:pPr>
      <w:spacing w:after="100"/>
      <w:ind w:left="850"/>
    </w:pPr>
  </w:style>
  <w:style w:type="paragraph" w:styleId="TOC7">
    <w:name w:val="toc 7"/>
    <w:basedOn w:val="a"/>
    <w:next w:val="a"/>
    <w:autoRedefine/>
    <w:semiHidden/>
    <w:unhideWhenUsed/>
    <w:rsid w:val="00C22A7A"/>
    <w:pPr>
      <w:spacing w:after="100"/>
      <w:ind w:left="1020"/>
    </w:pPr>
  </w:style>
  <w:style w:type="paragraph" w:styleId="TOC8">
    <w:name w:val="toc 8"/>
    <w:basedOn w:val="a"/>
    <w:next w:val="a"/>
    <w:autoRedefine/>
    <w:semiHidden/>
    <w:unhideWhenUsed/>
    <w:rsid w:val="00C22A7A"/>
    <w:pPr>
      <w:spacing w:after="100"/>
      <w:ind w:left="1190"/>
    </w:pPr>
  </w:style>
  <w:style w:type="paragraph" w:styleId="TOC9">
    <w:name w:val="toc 9"/>
    <w:basedOn w:val="a"/>
    <w:next w:val="a"/>
    <w:autoRedefine/>
    <w:semiHidden/>
    <w:unhideWhenUsed/>
    <w:rsid w:val="00C22A7A"/>
    <w:pPr>
      <w:spacing w:after="100"/>
      <w:ind w:left="1360"/>
    </w:pPr>
  </w:style>
  <w:style w:type="paragraph" w:customStyle="1" w:styleId="TableHead2">
    <w:name w:val="Table Head2"/>
    <w:basedOn w:val="TableHead"/>
    <w:qFormat/>
    <w:rsid w:val="00C22A7A"/>
    <w:pPr>
      <w:outlineLvl w:val="9"/>
    </w:pPr>
  </w:style>
  <w:style w:type="paragraph" w:customStyle="1" w:styleId="TableSideHeading2">
    <w:name w:val="Table SideHeading2"/>
    <w:basedOn w:val="TableSideHeading"/>
    <w:autoRedefine/>
    <w:qFormat/>
    <w:rsid w:val="00C22A7A"/>
    <w:pPr>
      <w:keepLines w:val="0"/>
      <w:outlineLvl w:val="9"/>
    </w:pPr>
  </w:style>
  <w:style w:type="paragraph" w:customStyle="1" w:styleId="0">
    <w:name w:val="סגנון שורה ראשונה:  0  ס''מ"/>
    <w:basedOn w:val="2"/>
    <w:rsid w:val="00C22A7A"/>
    <w:rPr>
      <w:rFonts w:eastAsia="Times New Roman"/>
    </w:rPr>
  </w:style>
  <w:style w:type="paragraph" w:styleId="af">
    <w:name w:val="List Paragraph"/>
    <w:basedOn w:val="a"/>
    <w:uiPriority w:val="34"/>
    <w:qFormat/>
    <w:rsid w:val="00C22A7A"/>
    <w:pPr>
      <w:widowControl/>
      <w:spacing w:line="259" w:lineRule="auto"/>
    </w:pPr>
    <w:rPr>
      <w:rFonts w:asciiTheme="minorHAnsi" w:hAnsiTheme="minorHAnsi"/>
      <w:sz w:val="22"/>
    </w:rPr>
  </w:style>
  <w:style w:type="table" w:styleId="af0">
    <w:name w:val="Table Grid"/>
    <w:basedOn w:val="a1"/>
    <w:rsid w:val="00C22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C22A7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C22A7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C22A7A"/>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C22A7A"/>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1FCB73F-56B1-4AFA-AB09-BC2427D66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348D7A-019F-48EE-AB4D-9BF5F197B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841</Words>
  <Characters>4205</Characters>
  <Application>Microsoft Office Word</Application>
  <DocSecurity>0</DocSecurity>
  <Lines>35</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בת אל עראקי</cp:lastModifiedBy>
  <cp:revision>17</cp:revision>
  <cp:lastPrinted>2023-06-27T12:23:00Z</cp:lastPrinted>
  <dcterms:created xsi:type="dcterms:W3CDTF">2015-04-20T09:58:00Z</dcterms:created>
  <dcterms:modified xsi:type="dcterms:W3CDTF">2023-06-27T12:28:00Z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2207027</vt:r8>
  </property>
</Properties>
</file>