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13B5" w:rsidRPr="00377102" w:rsidRDefault="002413B5" w:rsidP="002413B5">
      <w:pPr>
        <w:jc w:val="right"/>
        <w:rPr>
          <w:rFonts w:cs="Miriam"/>
          <w:b/>
          <w:bCs/>
          <w:sz w:val="16"/>
          <w:szCs w:val="16"/>
          <w:u w:val="single"/>
        </w:rPr>
      </w:pPr>
    </w:p>
    <w:p w:rsidR="002413B5" w:rsidRPr="00377102" w:rsidRDefault="002413B5" w:rsidP="002413B5">
      <w:pPr>
        <w:jc w:val="right"/>
        <w:rPr>
          <w:rFonts w:cs="Miriam"/>
          <w:b/>
          <w:bCs/>
          <w:sz w:val="16"/>
          <w:szCs w:val="16"/>
          <w:u w:val="single"/>
        </w:rPr>
      </w:pPr>
    </w:p>
    <w:tbl>
      <w:tblPr>
        <w:bidiVisual/>
        <w:tblW w:w="8363" w:type="dxa"/>
        <w:tblInd w:w="9" w:type="dxa"/>
        <w:tblLook w:val="0000" w:firstRow="0" w:lastRow="0" w:firstColumn="0" w:lastColumn="0" w:noHBand="0" w:noVBand="0"/>
      </w:tblPr>
      <w:tblGrid>
        <w:gridCol w:w="8363"/>
      </w:tblGrid>
      <w:tr w:rsidR="002413B5" w:rsidTr="00F43E1E">
        <w:tc>
          <w:tcPr>
            <w:tcW w:w="7848" w:type="dxa"/>
          </w:tcPr>
          <w:p w:rsidR="002413B5" w:rsidRPr="00624A42" w:rsidRDefault="002413B5" w:rsidP="00F43E1E">
            <w:pPr>
              <w:pStyle w:val="FileNumber0"/>
              <w:rPr>
                <w:sz w:val="28"/>
                <w:u w:val="single"/>
                <w:rtl/>
              </w:rPr>
            </w:pPr>
            <w:r>
              <w:rPr>
                <w:u w:val="single"/>
                <w:rtl/>
              </w:rPr>
              <w:t>בבית המשפט העליון בשבתו כבית משפט גבוה לצדק</w:t>
            </w:r>
          </w:p>
        </w:tc>
      </w:tr>
    </w:tbl>
    <w:p w:rsidR="002413B5" w:rsidRDefault="002413B5" w:rsidP="002413B5">
      <w:pPr>
        <w:jc w:val="right"/>
        <w:rPr>
          <w:rFonts w:cs="Miriam"/>
          <w:b/>
          <w:bCs/>
          <w:u w:val="single"/>
        </w:rPr>
      </w:pPr>
    </w:p>
    <w:tbl>
      <w:tblPr>
        <w:bidiVisual/>
        <w:tblW w:w="8363" w:type="dxa"/>
        <w:tblLook w:val="0000" w:firstRow="0" w:lastRow="0" w:firstColumn="0" w:lastColumn="0" w:noHBand="0" w:noVBand="0"/>
      </w:tblPr>
      <w:tblGrid>
        <w:gridCol w:w="8363"/>
      </w:tblGrid>
      <w:tr w:rsidR="002413B5" w:rsidTr="00F43E1E">
        <w:trPr>
          <w:trHeight w:val="342"/>
        </w:trPr>
        <w:tc>
          <w:tcPr>
            <w:tcW w:w="9828" w:type="dxa"/>
          </w:tcPr>
          <w:p w:rsidR="002413B5" w:rsidRPr="00810894" w:rsidRDefault="002413B5" w:rsidP="00F43E1E">
            <w:pPr>
              <w:pStyle w:val="FileNumber"/>
              <w:rPr>
                <w:sz w:val="28"/>
                <w:szCs w:val="28"/>
              </w:rPr>
            </w:pPr>
            <w:bookmarkStart w:id="0" w:name="casename_body"/>
            <w:r>
              <w:rPr>
                <w:sz w:val="28"/>
                <w:szCs w:val="28"/>
                <w:rtl/>
              </w:rPr>
              <w:t xml:space="preserve">בג"ץ  </w:t>
            </w:r>
            <w:bookmarkStart w:id="1" w:name="_GoBack"/>
            <w:r>
              <w:rPr>
                <w:sz w:val="28"/>
                <w:szCs w:val="28"/>
                <w:rtl/>
              </w:rPr>
              <w:t>2387/19</w:t>
            </w:r>
            <w:bookmarkEnd w:id="1"/>
          </w:p>
        </w:tc>
      </w:tr>
      <w:bookmarkEnd w:id="0"/>
    </w:tbl>
    <w:p w:rsidR="002413B5" w:rsidRDefault="002413B5" w:rsidP="002413B5">
      <w:pPr>
        <w:jc w:val="right"/>
        <w:rPr>
          <w:rFonts w:cs="Miriam"/>
          <w:b/>
          <w:bCs/>
          <w:u w:val="single"/>
        </w:rPr>
      </w:pPr>
    </w:p>
    <w:tbl>
      <w:tblPr>
        <w:bidiVisual/>
        <w:tblW w:w="8364" w:type="dxa"/>
        <w:tblLayout w:type="fixed"/>
        <w:tblLook w:val="0000" w:firstRow="0" w:lastRow="0" w:firstColumn="0" w:lastColumn="0" w:noHBand="0" w:noVBand="0"/>
      </w:tblPr>
      <w:tblGrid>
        <w:gridCol w:w="3210"/>
        <w:gridCol w:w="5154"/>
      </w:tblGrid>
      <w:tr w:rsidR="002413B5" w:rsidTr="00F43E1E">
        <w:trPr>
          <w:trHeight w:val="287"/>
        </w:trPr>
        <w:tc>
          <w:tcPr>
            <w:tcW w:w="3261" w:type="dxa"/>
          </w:tcPr>
          <w:p w:rsidR="002413B5" w:rsidRDefault="002413B5" w:rsidP="00F43E1E">
            <w:pPr>
              <w:pStyle w:val="BodyRuller"/>
              <w:rPr>
                <w:rFonts w:cs="Miriam"/>
                <w:b/>
                <w:bCs/>
                <w:u w:val="single"/>
              </w:rPr>
            </w:pPr>
            <w:r>
              <w:rPr>
                <w:rFonts w:hint="cs"/>
                <w:rtl/>
              </w:rPr>
              <w:t>ל</w:t>
            </w:r>
            <w:r>
              <w:rPr>
                <w:rtl/>
              </w:rPr>
              <w:t>פני:</w:t>
            </w:r>
            <w:r>
              <w:rPr>
                <w:rtl/>
              </w:rPr>
              <w:tab/>
            </w:r>
          </w:p>
        </w:tc>
        <w:tc>
          <w:tcPr>
            <w:tcW w:w="5239" w:type="dxa"/>
          </w:tcPr>
          <w:p w:rsidR="002413B5" w:rsidRDefault="002413B5" w:rsidP="00F43E1E">
            <w:pPr>
              <w:pStyle w:val="BodyRuller"/>
            </w:pPr>
            <w:r>
              <w:rPr>
                <w:rtl/>
              </w:rPr>
              <w:t>כבוד השופט נ' סולברג</w:t>
            </w:r>
          </w:p>
        </w:tc>
      </w:tr>
      <w:tr w:rsidR="002413B5" w:rsidTr="00F43E1E">
        <w:trPr>
          <w:trHeight w:val="287"/>
        </w:trPr>
        <w:tc>
          <w:tcPr>
            <w:tcW w:w="3261" w:type="dxa"/>
          </w:tcPr>
          <w:p w:rsidR="002413B5" w:rsidRDefault="002413B5" w:rsidP="00F43E1E">
            <w:pPr>
              <w:pStyle w:val="BodyRuller"/>
              <w:rPr>
                <w:rtl/>
              </w:rPr>
            </w:pPr>
          </w:p>
        </w:tc>
        <w:tc>
          <w:tcPr>
            <w:tcW w:w="5239" w:type="dxa"/>
          </w:tcPr>
          <w:p w:rsidR="002413B5" w:rsidRDefault="002413B5" w:rsidP="00F43E1E">
            <w:pPr>
              <w:pStyle w:val="BodyRuller"/>
              <w:rPr>
                <w:rtl/>
              </w:rPr>
            </w:pPr>
            <w:r>
              <w:rPr>
                <w:rtl/>
              </w:rPr>
              <w:t>כבוד השופט ע' גרוסקופף</w:t>
            </w:r>
          </w:p>
        </w:tc>
      </w:tr>
      <w:tr w:rsidR="002413B5" w:rsidTr="00F43E1E">
        <w:trPr>
          <w:trHeight w:val="287"/>
        </w:trPr>
        <w:tc>
          <w:tcPr>
            <w:tcW w:w="3261" w:type="dxa"/>
          </w:tcPr>
          <w:p w:rsidR="002413B5" w:rsidRDefault="002413B5" w:rsidP="00F43E1E">
            <w:pPr>
              <w:pStyle w:val="BodyRuller"/>
              <w:rPr>
                <w:rtl/>
              </w:rPr>
            </w:pPr>
          </w:p>
        </w:tc>
        <w:tc>
          <w:tcPr>
            <w:tcW w:w="5239" w:type="dxa"/>
          </w:tcPr>
          <w:p w:rsidR="002413B5" w:rsidRDefault="002413B5" w:rsidP="00F43E1E">
            <w:pPr>
              <w:pStyle w:val="BodyRuller"/>
              <w:rPr>
                <w:rtl/>
              </w:rPr>
            </w:pPr>
            <w:r>
              <w:rPr>
                <w:rtl/>
              </w:rPr>
              <w:t>כבוד השופט א' שטיין</w:t>
            </w:r>
          </w:p>
        </w:tc>
      </w:tr>
    </w:tbl>
    <w:p w:rsidR="002413B5" w:rsidRDefault="002413B5" w:rsidP="002413B5">
      <w:pPr>
        <w:pStyle w:val="Ruller3"/>
        <w:rPr>
          <w:rFonts w:cs="Miriam"/>
          <w:b/>
          <w:bCs/>
          <w:u w:val="single"/>
          <w:rtl/>
        </w:rPr>
      </w:pPr>
    </w:p>
    <w:tbl>
      <w:tblPr>
        <w:bidiVisual/>
        <w:tblW w:w="8364" w:type="dxa"/>
        <w:tblLayout w:type="fixed"/>
        <w:tblLook w:val="0000" w:firstRow="0" w:lastRow="0" w:firstColumn="0" w:lastColumn="0" w:noHBand="0" w:noVBand="0"/>
      </w:tblPr>
      <w:tblGrid>
        <w:gridCol w:w="3210"/>
        <w:gridCol w:w="5154"/>
      </w:tblGrid>
      <w:tr w:rsidR="002413B5" w:rsidTr="00F43E1E">
        <w:trPr>
          <w:trHeight w:val="287"/>
        </w:trPr>
        <w:tc>
          <w:tcPr>
            <w:tcW w:w="3261" w:type="dxa"/>
          </w:tcPr>
          <w:p w:rsidR="002413B5" w:rsidRPr="00E75223" w:rsidRDefault="002413B5" w:rsidP="00F43E1E">
            <w:pPr>
              <w:pStyle w:val="BodyRuller"/>
              <w:rPr>
                <w:rFonts w:ascii="David" w:hAnsi="David"/>
              </w:rPr>
            </w:pPr>
            <w:r>
              <w:rPr>
                <w:rFonts w:ascii="David" w:hAnsi="David"/>
                <w:rtl/>
              </w:rPr>
              <w:t>העותר</w:t>
            </w:r>
            <w:r>
              <w:rPr>
                <w:rFonts w:ascii="David" w:hAnsi="David" w:hint="cs"/>
                <w:rtl/>
              </w:rPr>
              <w:t>ת</w:t>
            </w:r>
            <w:r>
              <w:rPr>
                <w:rFonts w:ascii="David" w:hAnsi="David"/>
                <w:rtl/>
              </w:rPr>
              <w:t>:</w:t>
            </w:r>
          </w:p>
        </w:tc>
        <w:tc>
          <w:tcPr>
            <w:tcW w:w="5239" w:type="dxa"/>
          </w:tcPr>
          <w:p w:rsidR="002413B5" w:rsidRDefault="002413B5" w:rsidP="00F43E1E">
            <w:pPr>
              <w:pStyle w:val="BodyRuller"/>
            </w:pPr>
            <w:r>
              <w:rPr>
                <w:rtl/>
              </w:rPr>
              <w:t>רגבים</w:t>
            </w:r>
          </w:p>
        </w:tc>
      </w:tr>
    </w:tbl>
    <w:p w:rsidR="002413B5" w:rsidRDefault="002413B5" w:rsidP="002413B5">
      <w:pPr>
        <w:pStyle w:val="Ruller3"/>
      </w:pPr>
    </w:p>
    <w:tbl>
      <w:tblPr>
        <w:bidiVisual/>
        <w:tblW w:w="8363" w:type="dxa"/>
        <w:tblLook w:val="0000" w:firstRow="0" w:lastRow="0" w:firstColumn="0" w:lastColumn="0" w:noHBand="0" w:noVBand="0"/>
      </w:tblPr>
      <w:tblGrid>
        <w:gridCol w:w="3222"/>
        <w:gridCol w:w="5141"/>
      </w:tblGrid>
      <w:tr w:rsidR="002413B5" w:rsidTr="00F43E1E">
        <w:tc>
          <w:tcPr>
            <w:tcW w:w="3284" w:type="dxa"/>
          </w:tcPr>
          <w:p w:rsidR="002413B5" w:rsidRDefault="002413B5" w:rsidP="00F43E1E">
            <w:pPr>
              <w:pStyle w:val="BodyRuller"/>
            </w:pPr>
          </w:p>
        </w:tc>
        <w:tc>
          <w:tcPr>
            <w:tcW w:w="5238" w:type="dxa"/>
          </w:tcPr>
          <w:p w:rsidR="002413B5" w:rsidRDefault="002413B5" w:rsidP="00F43E1E">
            <w:pPr>
              <w:pStyle w:val="BodyRuller"/>
            </w:pPr>
            <w:r>
              <w:rPr>
                <w:rFonts w:hint="cs"/>
                <w:rtl/>
              </w:rPr>
              <w:t>נ</w:t>
            </w:r>
            <w:r>
              <w:t xml:space="preserve">  </w:t>
            </w:r>
            <w:r>
              <w:rPr>
                <w:rFonts w:hint="cs"/>
                <w:rtl/>
              </w:rPr>
              <w:t>ג</w:t>
            </w:r>
            <w:r>
              <w:t xml:space="preserve">  </w:t>
            </w:r>
            <w:r>
              <w:rPr>
                <w:rFonts w:hint="cs"/>
                <w:rtl/>
              </w:rPr>
              <w:t>ד</w:t>
            </w:r>
          </w:p>
        </w:tc>
      </w:tr>
    </w:tbl>
    <w:p w:rsidR="002413B5" w:rsidRDefault="002413B5" w:rsidP="002413B5">
      <w:pPr>
        <w:pStyle w:val="Ruller3"/>
        <w:rPr>
          <w:rtl/>
        </w:rPr>
      </w:pPr>
    </w:p>
    <w:tbl>
      <w:tblPr>
        <w:bidiVisual/>
        <w:tblW w:w="8364" w:type="dxa"/>
        <w:tblLayout w:type="fixed"/>
        <w:tblLook w:val="0000" w:firstRow="0" w:lastRow="0" w:firstColumn="0" w:lastColumn="0" w:noHBand="0" w:noVBand="0"/>
      </w:tblPr>
      <w:tblGrid>
        <w:gridCol w:w="3210"/>
        <w:gridCol w:w="5154"/>
      </w:tblGrid>
      <w:tr w:rsidR="002413B5" w:rsidTr="00F43E1E">
        <w:trPr>
          <w:trHeight w:val="287"/>
        </w:trPr>
        <w:tc>
          <w:tcPr>
            <w:tcW w:w="3261" w:type="dxa"/>
          </w:tcPr>
          <w:p w:rsidR="002413B5" w:rsidRPr="00E75223" w:rsidRDefault="002413B5" w:rsidP="00F43E1E">
            <w:pPr>
              <w:pStyle w:val="BodyRuller"/>
              <w:rPr>
                <w:rFonts w:ascii="David" w:hAnsi="David"/>
              </w:rPr>
            </w:pPr>
            <w:r>
              <w:rPr>
                <w:rFonts w:ascii="David" w:hAnsi="David"/>
                <w:rtl/>
              </w:rPr>
              <w:t>המשיבים:</w:t>
            </w:r>
          </w:p>
        </w:tc>
        <w:tc>
          <w:tcPr>
            <w:tcW w:w="5239" w:type="dxa"/>
          </w:tcPr>
          <w:p w:rsidR="002413B5" w:rsidRDefault="002413B5" w:rsidP="00F43E1E">
            <w:pPr>
              <w:pStyle w:val="BodyRuller"/>
            </w:pPr>
            <w:r>
              <w:rPr>
                <w:rtl/>
              </w:rPr>
              <w:t>1. ראש ממשלת ישראל</w:t>
            </w:r>
          </w:p>
        </w:tc>
      </w:tr>
      <w:tr w:rsidR="002413B5" w:rsidTr="00F43E1E">
        <w:trPr>
          <w:trHeight w:val="287"/>
        </w:trPr>
        <w:tc>
          <w:tcPr>
            <w:tcW w:w="3261" w:type="dxa"/>
          </w:tcPr>
          <w:p w:rsidR="002413B5" w:rsidRDefault="002413B5" w:rsidP="00F43E1E">
            <w:pPr>
              <w:pStyle w:val="BodyRuller"/>
              <w:rPr>
                <w:rFonts w:ascii="David" w:hAnsi="David"/>
                <w:rtl/>
              </w:rPr>
            </w:pPr>
          </w:p>
        </w:tc>
        <w:tc>
          <w:tcPr>
            <w:tcW w:w="5239" w:type="dxa"/>
          </w:tcPr>
          <w:p w:rsidR="002413B5" w:rsidRDefault="002413B5" w:rsidP="00F43E1E">
            <w:pPr>
              <w:pStyle w:val="BodyRuller"/>
              <w:rPr>
                <w:rtl/>
              </w:rPr>
            </w:pPr>
            <w:r>
              <w:rPr>
                <w:rtl/>
              </w:rPr>
              <w:t>2. שר הביטחון</w:t>
            </w:r>
          </w:p>
        </w:tc>
      </w:tr>
      <w:tr w:rsidR="002413B5" w:rsidTr="00F43E1E">
        <w:trPr>
          <w:trHeight w:val="287"/>
        </w:trPr>
        <w:tc>
          <w:tcPr>
            <w:tcW w:w="3261" w:type="dxa"/>
          </w:tcPr>
          <w:p w:rsidR="002413B5" w:rsidRDefault="002413B5" w:rsidP="00F43E1E">
            <w:pPr>
              <w:pStyle w:val="BodyRuller"/>
              <w:rPr>
                <w:rFonts w:ascii="David" w:hAnsi="David"/>
                <w:rtl/>
              </w:rPr>
            </w:pPr>
          </w:p>
        </w:tc>
        <w:tc>
          <w:tcPr>
            <w:tcW w:w="5239" w:type="dxa"/>
          </w:tcPr>
          <w:p w:rsidR="002413B5" w:rsidRDefault="002413B5" w:rsidP="00F43E1E">
            <w:pPr>
              <w:pStyle w:val="BodyRuller"/>
              <w:rPr>
                <w:rtl/>
              </w:rPr>
            </w:pPr>
            <w:r>
              <w:rPr>
                <w:rtl/>
              </w:rPr>
              <w:t>3. אלוף פיקוד המרכז</w:t>
            </w:r>
          </w:p>
        </w:tc>
      </w:tr>
      <w:tr w:rsidR="002413B5" w:rsidTr="00F43E1E">
        <w:trPr>
          <w:trHeight w:val="287"/>
        </w:trPr>
        <w:tc>
          <w:tcPr>
            <w:tcW w:w="3261" w:type="dxa"/>
          </w:tcPr>
          <w:p w:rsidR="002413B5" w:rsidRDefault="002413B5" w:rsidP="00F43E1E">
            <w:pPr>
              <w:pStyle w:val="BodyRuller"/>
              <w:rPr>
                <w:rFonts w:ascii="David" w:hAnsi="David"/>
                <w:rtl/>
              </w:rPr>
            </w:pPr>
          </w:p>
        </w:tc>
        <w:tc>
          <w:tcPr>
            <w:tcW w:w="5239" w:type="dxa"/>
          </w:tcPr>
          <w:p w:rsidR="002413B5" w:rsidRDefault="002413B5" w:rsidP="00F43E1E">
            <w:pPr>
              <w:pStyle w:val="BodyRuller"/>
              <w:rPr>
                <w:rtl/>
              </w:rPr>
            </w:pPr>
            <w:r>
              <w:rPr>
                <w:rtl/>
              </w:rPr>
              <w:t xml:space="preserve">4. ראש </w:t>
            </w:r>
            <w:proofErr w:type="spellStart"/>
            <w:r>
              <w:rPr>
                <w:rtl/>
              </w:rPr>
              <w:t>המינהל</w:t>
            </w:r>
            <w:proofErr w:type="spellEnd"/>
            <w:r>
              <w:rPr>
                <w:rtl/>
              </w:rPr>
              <w:t xml:space="preserve"> האזרחי</w:t>
            </w:r>
          </w:p>
        </w:tc>
      </w:tr>
      <w:tr w:rsidR="002413B5" w:rsidTr="00F43E1E">
        <w:trPr>
          <w:trHeight w:val="287"/>
        </w:trPr>
        <w:tc>
          <w:tcPr>
            <w:tcW w:w="3261" w:type="dxa"/>
          </w:tcPr>
          <w:p w:rsidR="002413B5" w:rsidRDefault="002413B5" w:rsidP="00F43E1E">
            <w:pPr>
              <w:pStyle w:val="BodyRuller"/>
              <w:rPr>
                <w:rFonts w:ascii="David" w:hAnsi="David"/>
                <w:rtl/>
              </w:rPr>
            </w:pPr>
          </w:p>
        </w:tc>
        <w:tc>
          <w:tcPr>
            <w:tcW w:w="5239" w:type="dxa"/>
          </w:tcPr>
          <w:p w:rsidR="002413B5" w:rsidRDefault="002413B5" w:rsidP="00F43E1E">
            <w:pPr>
              <w:pStyle w:val="BodyRuller"/>
              <w:rPr>
                <w:rtl/>
              </w:rPr>
            </w:pPr>
            <w:r>
              <w:rPr>
                <w:rtl/>
              </w:rPr>
              <w:t xml:space="preserve">5. </w:t>
            </w:r>
            <w:proofErr w:type="spellStart"/>
            <w:r>
              <w:rPr>
                <w:rtl/>
              </w:rPr>
              <w:t>סלימאן</w:t>
            </w:r>
            <w:proofErr w:type="spellEnd"/>
            <w:r>
              <w:rPr>
                <w:rtl/>
              </w:rPr>
              <w:t xml:space="preserve"> עלי </w:t>
            </w:r>
            <w:proofErr w:type="spellStart"/>
            <w:r>
              <w:rPr>
                <w:rtl/>
              </w:rPr>
              <w:t>עראערה</w:t>
            </w:r>
            <w:proofErr w:type="spellEnd"/>
            <w:r>
              <w:rPr>
                <w:rtl/>
              </w:rPr>
              <w:t xml:space="preserve"> ואח'</w:t>
            </w:r>
          </w:p>
        </w:tc>
      </w:tr>
    </w:tbl>
    <w:p w:rsidR="002413B5" w:rsidRDefault="002413B5" w:rsidP="002413B5">
      <w:pPr>
        <w:pStyle w:val="Ruller3"/>
      </w:pPr>
    </w:p>
    <w:tbl>
      <w:tblPr>
        <w:bidiVisual/>
        <w:tblW w:w="0" w:type="auto"/>
        <w:tblInd w:w="3209" w:type="dxa"/>
        <w:tblLook w:val="0000" w:firstRow="0" w:lastRow="0" w:firstColumn="0" w:lastColumn="0" w:noHBand="0" w:noVBand="0"/>
      </w:tblPr>
      <w:tblGrid>
        <w:gridCol w:w="5103"/>
      </w:tblGrid>
      <w:tr w:rsidR="002413B5" w:rsidTr="00F43E1E">
        <w:tc>
          <w:tcPr>
            <w:tcW w:w="5103" w:type="dxa"/>
          </w:tcPr>
          <w:p w:rsidR="002413B5" w:rsidRPr="00265F6E" w:rsidRDefault="002413B5" w:rsidP="00F43E1E">
            <w:pPr>
              <w:pStyle w:val="BodyRuller"/>
              <w:rPr>
                <w:sz w:val="24"/>
                <w:szCs w:val="24"/>
              </w:rPr>
            </w:pPr>
            <w:r w:rsidRPr="006E2658">
              <w:rPr>
                <w:rFonts w:hint="cs"/>
                <w:sz w:val="24"/>
                <w:szCs w:val="24"/>
                <w:rtl/>
              </w:rPr>
              <w:t>התנגדות</w:t>
            </w:r>
            <w:r w:rsidRPr="006E2658">
              <w:rPr>
                <w:sz w:val="24"/>
                <w:szCs w:val="24"/>
                <w:rtl/>
              </w:rPr>
              <w:t xml:space="preserve"> </w:t>
            </w:r>
            <w:r w:rsidRPr="006E2658">
              <w:rPr>
                <w:rFonts w:hint="cs"/>
                <w:sz w:val="24"/>
                <w:szCs w:val="24"/>
                <w:rtl/>
              </w:rPr>
              <w:t>ל</w:t>
            </w:r>
            <w:r w:rsidRPr="006E2658">
              <w:rPr>
                <w:sz w:val="24"/>
                <w:szCs w:val="24"/>
                <w:rtl/>
              </w:rPr>
              <w:t>צו על</w:t>
            </w:r>
            <w:r w:rsidRPr="006E2658">
              <w:rPr>
                <w:rFonts w:hint="cs"/>
                <w:sz w:val="24"/>
                <w:szCs w:val="24"/>
                <w:rtl/>
              </w:rPr>
              <w:t>-</w:t>
            </w:r>
            <w:r w:rsidRPr="006E2658">
              <w:rPr>
                <w:sz w:val="24"/>
                <w:szCs w:val="24"/>
                <w:rtl/>
              </w:rPr>
              <w:t>תנאי</w:t>
            </w:r>
          </w:p>
        </w:tc>
      </w:tr>
    </w:tbl>
    <w:p w:rsidR="002413B5" w:rsidRDefault="002413B5" w:rsidP="002413B5">
      <w:pPr>
        <w:pStyle w:val="Ruller3"/>
        <w:rPr>
          <w:rtl/>
        </w:rPr>
      </w:pPr>
    </w:p>
    <w:p w:rsidR="002413B5" w:rsidRPr="006E2658" w:rsidRDefault="002413B5" w:rsidP="002413B5">
      <w:pPr>
        <w:pStyle w:val="Ruller3"/>
        <w:tabs>
          <w:tab w:val="clear" w:pos="6753"/>
        </w:tabs>
        <w:rPr>
          <w:rFonts w:ascii="David" w:hAnsi="David" w:cs="David"/>
          <w:sz w:val="24"/>
          <w:szCs w:val="24"/>
          <w:rtl/>
        </w:rPr>
      </w:pPr>
      <w:r>
        <w:rPr>
          <w:rFonts w:ascii="David" w:hAnsi="David" w:cs="David" w:hint="cs"/>
          <w:sz w:val="24"/>
          <w:szCs w:val="24"/>
          <w:rtl/>
        </w:rPr>
        <w:t xml:space="preserve"> </w:t>
      </w:r>
      <w:r w:rsidRPr="006E2658">
        <w:rPr>
          <w:rFonts w:ascii="David" w:hAnsi="David" w:cs="David"/>
          <w:sz w:val="24"/>
          <w:szCs w:val="24"/>
          <w:rtl/>
        </w:rPr>
        <w:t>תאריך הישיבה:</w:t>
      </w:r>
      <w:r w:rsidRPr="006E2658">
        <w:rPr>
          <w:rFonts w:ascii="David" w:hAnsi="David" w:cs="David"/>
          <w:sz w:val="24"/>
          <w:szCs w:val="24"/>
          <w:rtl/>
        </w:rPr>
        <w:tab/>
        <w:t xml:space="preserve">י' באייר </w:t>
      </w:r>
      <w:proofErr w:type="spellStart"/>
      <w:r w:rsidRPr="006E2658">
        <w:rPr>
          <w:rFonts w:ascii="David" w:hAnsi="David" w:cs="David"/>
          <w:sz w:val="24"/>
          <w:szCs w:val="24"/>
          <w:rtl/>
        </w:rPr>
        <w:t>התשפ"ג</w:t>
      </w:r>
      <w:proofErr w:type="spellEnd"/>
      <w:r w:rsidRPr="006E2658">
        <w:rPr>
          <w:rFonts w:ascii="David" w:hAnsi="David" w:cs="David"/>
          <w:sz w:val="24"/>
          <w:szCs w:val="24"/>
          <w:rtl/>
        </w:rPr>
        <w:tab/>
      </w:r>
      <w:r w:rsidRPr="006E2658">
        <w:rPr>
          <w:rFonts w:ascii="David" w:hAnsi="David" w:cs="David"/>
          <w:sz w:val="24"/>
          <w:szCs w:val="24"/>
          <w:rtl/>
        </w:rPr>
        <w:tab/>
        <w:t>(1.5.2023)</w:t>
      </w:r>
    </w:p>
    <w:tbl>
      <w:tblPr>
        <w:bidiVisual/>
        <w:tblW w:w="8364"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14"/>
        <w:gridCol w:w="17"/>
        <w:gridCol w:w="2710"/>
        <w:gridCol w:w="2423"/>
      </w:tblGrid>
      <w:tr w:rsidR="002413B5" w:rsidRPr="000B5434" w:rsidTr="00F43E1E">
        <w:trPr>
          <w:gridAfter w:val="1"/>
          <w:wAfter w:w="2423" w:type="dxa"/>
          <w:trHeight w:val="281"/>
        </w:trPr>
        <w:tc>
          <w:tcPr>
            <w:tcW w:w="3231" w:type="dxa"/>
            <w:gridSpan w:val="2"/>
            <w:tcBorders>
              <w:top w:val="nil"/>
              <w:left w:val="nil"/>
              <w:bottom w:val="nil"/>
              <w:right w:val="nil"/>
            </w:tcBorders>
          </w:tcPr>
          <w:p w:rsidR="002413B5" w:rsidRPr="000B5434" w:rsidRDefault="002413B5" w:rsidP="00F43E1E">
            <w:pPr>
              <w:pStyle w:val="ruller31"/>
              <w:rPr>
                <w:rFonts w:ascii="David" w:hAnsi="David"/>
                <w:sz w:val="28"/>
                <w:szCs w:val="28"/>
              </w:rPr>
            </w:pPr>
          </w:p>
        </w:tc>
        <w:tc>
          <w:tcPr>
            <w:tcW w:w="2710" w:type="dxa"/>
            <w:tcBorders>
              <w:top w:val="nil"/>
              <w:left w:val="nil"/>
              <w:bottom w:val="nil"/>
              <w:right w:val="nil"/>
            </w:tcBorders>
          </w:tcPr>
          <w:p w:rsidR="002413B5" w:rsidRPr="000B5434" w:rsidRDefault="002413B5" w:rsidP="00F43E1E">
            <w:pPr>
              <w:pStyle w:val="precasestyle"/>
              <w:ind w:right="0" w:firstLine="720"/>
              <w:rPr>
                <w:rFonts w:ascii="David" w:hAnsi="David" w:cs="David"/>
                <w:sz w:val="28"/>
                <w:szCs w:val="28"/>
              </w:rPr>
            </w:pPr>
          </w:p>
        </w:tc>
      </w:tr>
      <w:tr w:rsidR="002413B5" w:rsidTr="00F43E1E">
        <w:tc>
          <w:tcPr>
            <w:tcW w:w="3214" w:type="dxa"/>
            <w:tcBorders>
              <w:top w:val="nil"/>
              <w:left w:val="nil"/>
              <w:bottom w:val="nil"/>
              <w:right w:val="nil"/>
            </w:tcBorders>
          </w:tcPr>
          <w:p w:rsidR="002413B5" w:rsidRDefault="002413B5" w:rsidP="00F43E1E">
            <w:pPr>
              <w:pStyle w:val="BodyRuller"/>
              <w:contextualSpacing/>
            </w:pPr>
            <w:r>
              <w:rPr>
                <w:rtl/>
              </w:rPr>
              <w:t>בשם העותר</w:t>
            </w:r>
            <w:r>
              <w:rPr>
                <w:rFonts w:hint="cs"/>
                <w:rtl/>
              </w:rPr>
              <w:t>ת</w:t>
            </w:r>
            <w:r>
              <w:rPr>
                <w:rtl/>
              </w:rPr>
              <w:t>:</w:t>
            </w:r>
          </w:p>
        </w:tc>
        <w:tc>
          <w:tcPr>
            <w:tcW w:w="5149" w:type="dxa"/>
            <w:gridSpan w:val="3"/>
            <w:tcBorders>
              <w:top w:val="nil"/>
              <w:left w:val="nil"/>
              <w:bottom w:val="nil"/>
              <w:right w:val="nil"/>
            </w:tcBorders>
          </w:tcPr>
          <w:p w:rsidR="002413B5" w:rsidRDefault="002413B5" w:rsidP="00F43E1E">
            <w:pPr>
              <w:pStyle w:val="BodyRuller"/>
              <w:contextualSpacing/>
            </w:pPr>
            <w:r>
              <w:rPr>
                <w:rtl/>
              </w:rPr>
              <w:t xml:space="preserve">עו"ד </w:t>
            </w:r>
            <w:r>
              <w:rPr>
                <w:rFonts w:hint="cs"/>
                <w:rtl/>
              </w:rPr>
              <w:t>אבי סגל</w:t>
            </w:r>
            <w:r w:rsidRPr="000B5434">
              <w:rPr>
                <w:rtl/>
              </w:rPr>
              <w:t xml:space="preserve">; עו"ד יעל </w:t>
            </w:r>
            <w:proofErr w:type="spellStart"/>
            <w:r w:rsidRPr="000B5434">
              <w:rPr>
                <w:rtl/>
              </w:rPr>
              <w:t>סינמון</w:t>
            </w:r>
            <w:proofErr w:type="spellEnd"/>
          </w:p>
        </w:tc>
      </w:tr>
    </w:tbl>
    <w:tbl>
      <w:tblPr>
        <w:tblpPr w:leftFromText="180" w:rightFromText="180" w:vertAnchor="text" w:tblpY="1"/>
        <w:tblOverlap w:val="never"/>
        <w:bidiVisual/>
        <w:tblW w:w="8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14"/>
        <w:gridCol w:w="5153"/>
      </w:tblGrid>
      <w:tr w:rsidR="002413B5" w:rsidTr="00F43E1E">
        <w:tc>
          <w:tcPr>
            <w:tcW w:w="3214" w:type="dxa"/>
            <w:tcBorders>
              <w:top w:val="nil"/>
              <w:left w:val="nil"/>
              <w:bottom w:val="nil"/>
              <w:right w:val="nil"/>
            </w:tcBorders>
          </w:tcPr>
          <w:p w:rsidR="002413B5" w:rsidRDefault="002413B5" w:rsidP="00F43E1E">
            <w:pPr>
              <w:pStyle w:val="BodyRuller"/>
              <w:contextualSpacing/>
              <w:rPr>
                <w:rtl/>
              </w:rPr>
            </w:pPr>
          </w:p>
          <w:p w:rsidR="002413B5" w:rsidRDefault="002413B5" w:rsidP="00F43E1E">
            <w:pPr>
              <w:pStyle w:val="BodyRuller"/>
              <w:contextualSpacing/>
            </w:pPr>
            <w:r>
              <w:rPr>
                <w:rtl/>
              </w:rPr>
              <w:t>בשם המשיבים</w:t>
            </w:r>
            <w:r>
              <w:rPr>
                <w:rFonts w:hint="cs"/>
                <w:rtl/>
              </w:rPr>
              <w:t xml:space="preserve"> 4-1</w:t>
            </w:r>
            <w:r>
              <w:rPr>
                <w:rtl/>
              </w:rPr>
              <w:t>:</w:t>
            </w:r>
          </w:p>
        </w:tc>
        <w:tc>
          <w:tcPr>
            <w:tcW w:w="5153" w:type="dxa"/>
            <w:tcBorders>
              <w:top w:val="nil"/>
              <w:left w:val="nil"/>
              <w:bottom w:val="nil"/>
              <w:right w:val="nil"/>
            </w:tcBorders>
          </w:tcPr>
          <w:p w:rsidR="002413B5" w:rsidRDefault="002413B5" w:rsidP="00F43E1E">
            <w:pPr>
              <w:pStyle w:val="BodyRuller"/>
              <w:contextualSpacing/>
              <w:rPr>
                <w:rtl/>
              </w:rPr>
            </w:pPr>
          </w:p>
          <w:p w:rsidR="002413B5" w:rsidRDefault="002413B5" w:rsidP="00F43E1E">
            <w:pPr>
              <w:pStyle w:val="BodyRuller"/>
              <w:contextualSpacing/>
            </w:pPr>
            <w:r>
              <w:rPr>
                <w:rtl/>
              </w:rPr>
              <w:t xml:space="preserve">עו"ד </w:t>
            </w:r>
            <w:r>
              <w:rPr>
                <w:rFonts w:hint="cs"/>
                <w:rtl/>
              </w:rPr>
              <w:t>רן רוזנברג; עו"ד הדס ערן</w:t>
            </w:r>
          </w:p>
        </w:tc>
      </w:tr>
      <w:tr w:rsidR="002413B5" w:rsidTr="00F43E1E">
        <w:trPr>
          <w:gridAfter w:val="1"/>
          <w:wAfter w:w="5153" w:type="dxa"/>
        </w:trPr>
        <w:tc>
          <w:tcPr>
            <w:tcW w:w="3214" w:type="dxa"/>
            <w:tcBorders>
              <w:top w:val="nil"/>
              <w:left w:val="nil"/>
              <w:bottom w:val="nil"/>
              <w:right w:val="nil"/>
            </w:tcBorders>
          </w:tcPr>
          <w:p w:rsidR="002413B5" w:rsidRDefault="002413B5" w:rsidP="00F43E1E">
            <w:pPr>
              <w:pStyle w:val="BodyRuller"/>
              <w:contextualSpacing/>
            </w:pPr>
          </w:p>
        </w:tc>
      </w:tr>
      <w:tr w:rsidR="002413B5" w:rsidTr="00F43E1E">
        <w:tc>
          <w:tcPr>
            <w:tcW w:w="3214" w:type="dxa"/>
            <w:tcBorders>
              <w:top w:val="nil"/>
              <w:left w:val="nil"/>
              <w:bottom w:val="nil"/>
              <w:right w:val="nil"/>
            </w:tcBorders>
          </w:tcPr>
          <w:p w:rsidR="002413B5" w:rsidRDefault="002413B5" w:rsidP="00F43E1E">
            <w:pPr>
              <w:pStyle w:val="BodyRuller"/>
              <w:contextualSpacing/>
            </w:pPr>
            <w:r>
              <w:rPr>
                <w:rtl/>
              </w:rPr>
              <w:t>בשם המשיבים</w:t>
            </w:r>
            <w:r>
              <w:rPr>
                <w:rFonts w:hint="cs"/>
                <w:rtl/>
              </w:rPr>
              <w:t xml:space="preserve"> 44-5</w:t>
            </w:r>
            <w:r>
              <w:rPr>
                <w:rtl/>
              </w:rPr>
              <w:t>:</w:t>
            </w:r>
          </w:p>
        </w:tc>
        <w:tc>
          <w:tcPr>
            <w:tcW w:w="5153" w:type="dxa"/>
            <w:tcBorders>
              <w:top w:val="nil"/>
              <w:left w:val="nil"/>
              <w:bottom w:val="nil"/>
              <w:right w:val="nil"/>
            </w:tcBorders>
          </w:tcPr>
          <w:p w:rsidR="002413B5" w:rsidRDefault="002413B5" w:rsidP="00F43E1E">
            <w:pPr>
              <w:pStyle w:val="BodyRuller"/>
              <w:contextualSpacing/>
            </w:pPr>
            <w:r>
              <w:rPr>
                <w:rtl/>
              </w:rPr>
              <w:t xml:space="preserve">עו"ד </w:t>
            </w:r>
            <w:r>
              <w:rPr>
                <w:rFonts w:hint="cs"/>
                <w:rtl/>
              </w:rPr>
              <w:t xml:space="preserve">תאופיק </w:t>
            </w:r>
            <w:proofErr w:type="spellStart"/>
            <w:r>
              <w:rPr>
                <w:rFonts w:hint="cs"/>
                <w:rtl/>
              </w:rPr>
              <w:t>ג'בארין</w:t>
            </w:r>
            <w:proofErr w:type="spellEnd"/>
          </w:p>
        </w:tc>
      </w:tr>
      <w:tr w:rsidR="002413B5" w:rsidTr="00F43E1E">
        <w:trPr>
          <w:gridAfter w:val="1"/>
          <w:wAfter w:w="5153" w:type="dxa"/>
        </w:trPr>
        <w:tc>
          <w:tcPr>
            <w:tcW w:w="3214" w:type="dxa"/>
            <w:tcBorders>
              <w:top w:val="nil"/>
              <w:left w:val="nil"/>
              <w:bottom w:val="nil"/>
              <w:right w:val="nil"/>
            </w:tcBorders>
          </w:tcPr>
          <w:p w:rsidR="002413B5" w:rsidRDefault="002413B5" w:rsidP="00F43E1E">
            <w:pPr>
              <w:pStyle w:val="BodyRuller"/>
              <w:rPr>
                <w:rtl/>
              </w:rPr>
            </w:pPr>
          </w:p>
        </w:tc>
      </w:tr>
      <w:tr w:rsidR="002413B5" w:rsidTr="00F43E1E">
        <w:tc>
          <w:tcPr>
            <w:tcW w:w="3214" w:type="dxa"/>
            <w:tcBorders>
              <w:top w:val="nil"/>
              <w:left w:val="nil"/>
              <w:bottom w:val="nil"/>
              <w:right w:val="nil"/>
            </w:tcBorders>
          </w:tcPr>
          <w:p w:rsidR="002413B5" w:rsidRDefault="002413B5" w:rsidP="00F43E1E">
            <w:pPr>
              <w:pStyle w:val="BodyRuller"/>
            </w:pPr>
          </w:p>
        </w:tc>
        <w:tc>
          <w:tcPr>
            <w:tcW w:w="5153" w:type="dxa"/>
            <w:tcBorders>
              <w:top w:val="nil"/>
              <w:left w:val="nil"/>
              <w:bottom w:val="nil"/>
              <w:right w:val="nil"/>
            </w:tcBorders>
          </w:tcPr>
          <w:p w:rsidR="002413B5" w:rsidRDefault="002413B5" w:rsidP="00F43E1E">
            <w:pPr>
              <w:pStyle w:val="BodyRuller"/>
              <w:rPr>
                <w:rtl/>
              </w:rPr>
            </w:pPr>
          </w:p>
        </w:tc>
      </w:tr>
    </w:tbl>
    <w:tbl>
      <w:tblPr>
        <w:bidiVisual/>
        <w:tblW w:w="8363" w:type="dxa"/>
        <w:tblLook w:val="0000" w:firstRow="0" w:lastRow="0" w:firstColumn="0" w:lastColumn="0" w:noHBand="0" w:noVBand="0"/>
      </w:tblPr>
      <w:tblGrid>
        <w:gridCol w:w="8363"/>
      </w:tblGrid>
      <w:tr w:rsidR="002413B5" w:rsidTr="00F43E1E">
        <w:tc>
          <w:tcPr>
            <w:tcW w:w="8363" w:type="dxa"/>
          </w:tcPr>
          <w:p w:rsidR="002413B5" w:rsidRDefault="002413B5" w:rsidP="00F43E1E">
            <w:pPr>
              <w:pStyle w:val="DocumentHead"/>
            </w:pPr>
            <w:bookmarkStart w:id="2" w:name="secretary"/>
            <w:bookmarkStart w:id="3" w:name="BeginProtocol"/>
            <w:bookmarkEnd w:id="2"/>
            <w:bookmarkEnd w:id="3"/>
            <w:r>
              <w:rPr>
                <w:rtl/>
              </w:rPr>
              <w:t>פסק-דין</w:t>
            </w:r>
          </w:p>
        </w:tc>
      </w:tr>
    </w:tbl>
    <w:p w:rsidR="002413B5" w:rsidRDefault="002413B5" w:rsidP="002413B5">
      <w:pPr>
        <w:pStyle w:val="BODYVERDICT"/>
      </w:pPr>
    </w:p>
    <w:p w:rsidR="002413B5" w:rsidRPr="00503A3E" w:rsidRDefault="002413B5" w:rsidP="002413B5">
      <w:pPr>
        <w:pStyle w:val="BODYVERDICT"/>
        <w:rPr>
          <w:rFonts w:cs="Miriam"/>
          <w:sz w:val="24"/>
          <w:szCs w:val="24"/>
          <w:u w:val="single"/>
          <w:rtl/>
        </w:rPr>
      </w:pPr>
      <w:bookmarkStart w:id="4" w:name="Writer_Name"/>
      <w:bookmarkEnd w:id="4"/>
      <w:r>
        <w:rPr>
          <w:rFonts w:cs="Miriam"/>
          <w:sz w:val="24"/>
          <w:szCs w:val="24"/>
          <w:u w:val="single"/>
          <w:rtl/>
        </w:rPr>
        <w:t>השופט א' שטיין:</w:t>
      </w:r>
    </w:p>
    <w:p w:rsidR="002413B5" w:rsidRDefault="002413B5" w:rsidP="002413B5">
      <w:pPr>
        <w:pStyle w:val="Ruller40"/>
        <w:rPr>
          <w:rtl/>
        </w:rPr>
      </w:pPr>
      <w:bookmarkStart w:id="5" w:name="Start_Write"/>
      <w:bookmarkEnd w:id="5"/>
    </w:p>
    <w:p w:rsidR="002413B5" w:rsidRDefault="002413B5" w:rsidP="002413B5">
      <w:pPr>
        <w:pStyle w:val="Ruller4"/>
      </w:pPr>
      <w:r>
        <w:rPr>
          <w:rFonts w:hint="cs"/>
          <w:rtl/>
        </w:rPr>
        <w:t xml:space="preserve">ביום </w:t>
      </w:r>
      <w:r>
        <w:rPr>
          <w:rtl/>
        </w:rPr>
        <w:t>13.3.2022</w:t>
      </w:r>
      <w:r>
        <w:rPr>
          <w:rFonts w:hint="cs"/>
          <w:rtl/>
        </w:rPr>
        <w:t xml:space="preserve"> הוצאנו מלפנינו </w:t>
      </w:r>
      <w:r>
        <w:rPr>
          <w:rtl/>
        </w:rPr>
        <w:t>צו</w:t>
      </w:r>
      <w:r>
        <w:rPr>
          <w:rFonts w:hint="cs"/>
          <w:rtl/>
        </w:rPr>
        <w:t>-</w:t>
      </w:r>
      <w:r>
        <w:rPr>
          <w:rtl/>
        </w:rPr>
        <w:t xml:space="preserve">על-תנאי המורה למשיבים 4-1 </w:t>
      </w:r>
      <w:r>
        <w:rPr>
          <w:rFonts w:hint="cs"/>
          <w:rtl/>
        </w:rPr>
        <w:t xml:space="preserve">(להלן: </w:t>
      </w:r>
      <w:r w:rsidRPr="00DA4E5C">
        <w:rPr>
          <w:rFonts w:ascii="Century" w:hAnsi="Century" w:cs="Miriam" w:hint="cs"/>
          <w:b/>
          <w:spacing w:val="0"/>
          <w:sz w:val="22"/>
          <w:szCs w:val="24"/>
          <w:rtl/>
        </w:rPr>
        <w:t>משיבי המדינה</w:t>
      </w:r>
      <w:r>
        <w:rPr>
          <w:rFonts w:hint="cs"/>
          <w:rtl/>
        </w:rPr>
        <w:t>) "</w:t>
      </w:r>
      <w:r>
        <w:rPr>
          <w:rtl/>
        </w:rPr>
        <w:t xml:space="preserve">להתייצב </w:t>
      </w:r>
      <w:proofErr w:type="spellStart"/>
      <w:r>
        <w:rPr>
          <w:rtl/>
        </w:rPr>
        <w:t>וליתן</w:t>
      </w:r>
      <w:proofErr w:type="spellEnd"/>
      <w:r>
        <w:rPr>
          <w:rtl/>
        </w:rPr>
        <w:t xml:space="preserve"> טעם מדוע לא יפעלו למימוש צווי ההריסה שהוצאו על-ידם, ביחס למבנים במתחם 'חאן אל </w:t>
      </w:r>
      <w:proofErr w:type="spellStart"/>
      <w:r>
        <w:rPr>
          <w:rtl/>
        </w:rPr>
        <w:t>אחמר</w:t>
      </w:r>
      <w:proofErr w:type="spellEnd"/>
      <w:r>
        <w:rPr>
          <w:rtl/>
        </w:rPr>
        <w:t xml:space="preserve">', הבנוי על אדמות מדינה, בתוך תחום הקו הכחול של הישוב כפר אדומים שבסמוך לו, בשיפולי כביש מספר 1 שבין ירושלים לים המלח; ומדוע לא יממשו את ההתחייבויות שנתנו לעניין זה בבג"ץ 3287/16 </w:t>
      </w:r>
      <w:r w:rsidRPr="00DA4E5C">
        <w:rPr>
          <w:rFonts w:ascii="Century" w:hAnsi="Century" w:cs="Miriam"/>
          <w:b/>
          <w:spacing w:val="0"/>
          <w:szCs w:val="24"/>
          <w:rtl/>
        </w:rPr>
        <w:t>כפר אדומים כפר שיתופי להתיישבות קהילתית בע"מ נ' שר הביטחון</w:t>
      </w:r>
      <w:r>
        <w:rPr>
          <w:rtl/>
        </w:rPr>
        <w:t xml:space="preserve">, שבעקבותיהן נקבע, כי נוכח </w:t>
      </w:r>
      <w:r>
        <w:rPr>
          <w:rtl/>
        </w:rPr>
        <w:lastRenderedPageBreak/>
        <w:t xml:space="preserve">הודעת המשיבים על כוונתם לממש את צווי ההריסה </w:t>
      </w:r>
      <w:r>
        <w:rPr>
          <w:rFonts w:ascii="Century" w:hAnsi="Century" w:cs="Miriam" w:hint="cs"/>
          <w:b/>
          <w:spacing w:val="0"/>
          <w:szCs w:val="24"/>
          <w:rtl/>
        </w:rPr>
        <w:t>'</w:t>
      </w:r>
      <w:r w:rsidRPr="00DA4E5C">
        <w:rPr>
          <w:rFonts w:ascii="Century" w:hAnsi="Century" w:cs="Miriam"/>
          <w:b/>
          <w:spacing w:val="0"/>
          <w:szCs w:val="24"/>
          <w:rtl/>
        </w:rPr>
        <w:t>במועד קרוב</w:t>
      </w:r>
      <w:r>
        <w:rPr>
          <w:rFonts w:ascii="Century" w:hAnsi="Century" w:cs="Miriam" w:hint="cs"/>
          <w:b/>
          <w:spacing w:val="0"/>
          <w:szCs w:val="24"/>
          <w:rtl/>
        </w:rPr>
        <w:t>'</w:t>
      </w:r>
      <w:r>
        <w:rPr>
          <w:rtl/>
        </w:rPr>
        <w:t xml:space="preserve">, </w:t>
      </w:r>
      <w:r>
        <w:rPr>
          <w:rFonts w:ascii="Century" w:hAnsi="Century" w:cs="Miriam" w:hint="cs"/>
          <w:b/>
          <w:spacing w:val="0"/>
          <w:szCs w:val="24"/>
          <w:rtl/>
        </w:rPr>
        <w:t>'</w:t>
      </w:r>
      <w:r w:rsidRPr="00DA4E5C">
        <w:rPr>
          <w:rFonts w:ascii="Century" w:hAnsi="Century" w:cs="Miriam"/>
          <w:b/>
          <w:spacing w:val="0"/>
          <w:szCs w:val="24"/>
          <w:rtl/>
        </w:rPr>
        <w:t>עתירה זו מיצתה אפוא את עצמה ודינה להימחק</w:t>
      </w:r>
      <w:r>
        <w:rPr>
          <w:rFonts w:ascii="Century" w:hAnsi="Century" w:cs="Miriam" w:hint="cs"/>
          <w:b/>
          <w:spacing w:val="0"/>
          <w:szCs w:val="24"/>
          <w:rtl/>
        </w:rPr>
        <w:t>'</w:t>
      </w:r>
      <w:r w:rsidRPr="00B06FF3">
        <w:rPr>
          <w:rFonts w:ascii="Century" w:hAnsi="Century"/>
          <w:sz w:val="22"/>
          <w:rtl/>
        </w:rPr>
        <w:t>"</w:t>
      </w:r>
      <w:r>
        <w:rPr>
          <w:rtl/>
        </w:rPr>
        <w:t>.</w:t>
      </w:r>
      <w:r>
        <w:rPr>
          <w:rFonts w:hint="cs"/>
          <w:rtl/>
        </w:rPr>
        <w:t xml:space="preserve"> </w:t>
      </w:r>
    </w:p>
    <w:p w:rsidR="002413B5" w:rsidRDefault="002413B5" w:rsidP="002413B5">
      <w:pPr>
        <w:pStyle w:val="Ruller4"/>
        <w:numPr>
          <w:ilvl w:val="0"/>
          <w:numId w:val="0"/>
        </w:numPr>
      </w:pPr>
    </w:p>
    <w:p w:rsidR="002413B5" w:rsidRPr="002136FC" w:rsidRDefault="002413B5" w:rsidP="002413B5">
      <w:pPr>
        <w:pStyle w:val="Ruller4"/>
        <w:rPr>
          <w:rtl/>
        </w:rPr>
      </w:pPr>
      <w:r>
        <w:rPr>
          <w:rFonts w:hint="cs"/>
          <w:rtl/>
        </w:rPr>
        <w:t>האמור בצו זה ובהחלטה שקדמה לו מסכם בלשון תמציתית את דברי הימים של הבניה הבלתי חוקית במאחז "חאן אל-</w:t>
      </w:r>
      <w:proofErr w:type="spellStart"/>
      <w:r>
        <w:rPr>
          <w:rFonts w:hint="cs"/>
          <w:rtl/>
        </w:rPr>
        <w:t>אחמר</w:t>
      </w:r>
      <w:proofErr w:type="spellEnd"/>
      <w:r>
        <w:rPr>
          <w:rFonts w:hint="cs"/>
          <w:rtl/>
        </w:rPr>
        <w:t xml:space="preserve">" (להלן: </w:t>
      </w:r>
      <w:r w:rsidRPr="00DA4E5C">
        <w:rPr>
          <w:rFonts w:ascii="Century" w:hAnsi="Century" w:cs="Miriam" w:hint="cs"/>
          <w:b/>
          <w:spacing w:val="0"/>
          <w:sz w:val="22"/>
          <w:szCs w:val="24"/>
          <w:rtl/>
        </w:rPr>
        <w:t>המאחז</w:t>
      </w:r>
      <w:r>
        <w:rPr>
          <w:rFonts w:hint="cs"/>
          <w:rtl/>
        </w:rPr>
        <w:t xml:space="preserve">). המאחז החל להיבנות ולהתרחב, </w:t>
      </w:r>
      <w:r w:rsidRPr="00BF1126">
        <w:rPr>
          <w:rFonts w:ascii="Century" w:hAnsi="Century"/>
          <w:rtl/>
        </w:rPr>
        <w:t>ללא היתר בניה כדין</w:t>
      </w:r>
      <w:r>
        <w:rPr>
          <w:rFonts w:ascii="Century" w:hAnsi="Century" w:hint="cs"/>
          <w:rtl/>
        </w:rPr>
        <w:t>,</w:t>
      </w:r>
      <w:r>
        <w:rPr>
          <w:rFonts w:hint="cs"/>
          <w:rtl/>
        </w:rPr>
        <w:t xml:space="preserve"> </w:t>
      </w:r>
      <w:r w:rsidRPr="00BF1126">
        <w:rPr>
          <w:rFonts w:ascii="Century" w:hAnsi="Century"/>
          <w:rtl/>
        </w:rPr>
        <w:t>בחודש יוני 2009 במתחם חאן אל-</w:t>
      </w:r>
      <w:proofErr w:type="spellStart"/>
      <w:r w:rsidRPr="00BF1126">
        <w:rPr>
          <w:rFonts w:ascii="Century" w:hAnsi="Century"/>
          <w:rtl/>
        </w:rPr>
        <w:t>אחמר</w:t>
      </w:r>
      <w:proofErr w:type="spellEnd"/>
      <w:r w:rsidRPr="00BF1126">
        <w:rPr>
          <w:rFonts w:ascii="Century" w:hAnsi="Century"/>
          <w:rtl/>
        </w:rPr>
        <w:t xml:space="preserve">, </w:t>
      </w:r>
      <w:r>
        <w:rPr>
          <w:rFonts w:ascii="Century" w:hAnsi="Century" w:hint="cs"/>
          <w:rtl/>
        </w:rPr>
        <w:t xml:space="preserve">הממוקם </w:t>
      </w:r>
      <w:r w:rsidRPr="00BF1126">
        <w:rPr>
          <w:rFonts w:ascii="Century" w:hAnsi="Century"/>
          <w:rtl/>
        </w:rPr>
        <w:t>ב</w:t>
      </w:r>
      <w:r>
        <w:rPr>
          <w:rFonts w:ascii="Century" w:hAnsi="Century" w:hint="cs"/>
          <w:rtl/>
        </w:rPr>
        <w:t>סמיכות</w:t>
      </w:r>
      <w:r w:rsidRPr="00BF1126">
        <w:rPr>
          <w:rFonts w:ascii="Century" w:hAnsi="Century"/>
          <w:rtl/>
        </w:rPr>
        <w:t xml:space="preserve"> לכפר אדומים, בשיפולי כביש מס</w:t>
      </w:r>
      <w:r>
        <w:rPr>
          <w:rFonts w:ascii="Century" w:hAnsi="Century" w:hint="cs"/>
          <w:rtl/>
        </w:rPr>
        <w:t>פר</w:t>
      </w:r>
      <w:r w:rsidRPr="00BF1126">
        <w:rPr>
          <w:rFonts w:ascii="Century" w:hAnsi="Century"/>
          <w:rtl/>
        </w:rPr>
        <w:t xml:space="preserve"> 1 </w:t>
      </w:r>
      <w:r>
        <w:rPr>
          <w:rFonts w:ascii="Century" w:hAnsi="Century" w:hint="cs"/>
          <w:rtl/>
        </w:rPr>
        <w:t>אשר מחבר את</w:t>
      </w:r>
      <w:r w:rsidRPr="00BF1126">
        <w:rPr>
          <w:rFonts w:ascii="Century" w:hAnsi="Century"/>
          <w:rtl/>
        </w:rPr>
        <w:t xml:space="preserve"> ירושלים ל</w:t>
      </w:r>
      <w:r>
        <w:rPr>
          <w:rFonts w:ascii="Century" w:hAnsi="Century" w:hint="cs"/>
          <w:rtl/>
        </w:rPr>
        <w:t xml:space="preserve">אזור </w:t>
      </w:r>
      <w:r>
        <w:rPr>
          <w:rFonts w:ascii="Century" w:hAnsi="Century"/>
          <w:rtl/>
        </w:rPr>
        <w:t>ים המלח</w:t>
      </w:r>
      <w:r w:rsidRPr="00BF1126">
        <w:rPr>
          <w:rFonts w:ascii="Century" w:hAnsi="Century"/>
          <w:rtl/>
        </w:rPr>
        <w:t xml:space="preserve">. </w:t>
      </w:r>
      <w:r>
        <w:rPr>
          <w:rFonts w:ascii="Century" w:hAnsi="Century" w:hint="cs"/>
          <w:rtl/>
        </w:rPr>
        <w:t xml:space="preserve">הרשויות הגיבו במהירות הראויה: </w:t>
      </w:r>
      <w:r w:rsidRPr="00BF1126">
        <w:rPr>
          <w:rFonts w:ascii="Century" w:hAnsi="Century"/>
          <w:rtl/>
        </w:rPr>
        <w:t xml:space="preserve">ביום 23.6.2009, הוצאו והומצאו </w:t>
      </w:r>
      <w:r>
        <w:rPr>
          <w:rFonts w:ascii="Century" w:hAnsi="Century" w:hint="cs"/>
          <w:rtl/>
        </w:rPr>
        <w:t xml:space="preserve">לדיירי המאחז </w:t>
      </w:r>
      <w:r>
        <w:rPr>
          <w:rFonts w:ascii="Century" w:hAnsi="Century"/>
          <w:rtl/>
        </w:rPr>
        <w:t>–</w:t>
      </w:r>
      <w:r>
        <w:rPr>
          <w:rFonts w:ascii="Century" w:hAnsi="Century" w:hint="cs"/>
          <w:rtl/>
        </w:rPr>
        <w:t xml:space="preserve"> הפולשים </w:t>
      </w:r>
      <w:r>
        <w:rPr>
          <w:rFonts w:ascii="Century" w:hAnsi="Century"/>
          <w:rtl/>
        </w:rPr>
        <w:t>–</w:t>
      </w:r>
      <w:r>
        <w:rPr>
          <w:rFonts w:ascii="Century" w:hAnsi="Century" w:hint="cs"/>
          <w:rtl/>
        </w:rPr>
        <w:t xml:space="preserve"> </w:t>
      </w:r>
      <w:r w:rsidRPr="00BF1126">
        <w:rPr>
          <w:rFonts w:ascii="Century" w:hAnsi="Century"/>
          <w:rtl/>
        </w:rPr>
        <w:t xml:space="preserve">צווי הפסקת עבודה; </w:t>
      </w:r>
      <w:r>
        <w:rPr>
          <w:rFonts w:ascii="Century" w:hAnsi="Century" w:hint="cs"/>
          <w:rtl/>
        </w:rPr>
        <w:t>ו</w:t>
      </w:r>
      <w:r>
        <w:rPr>
          <w:rFonts w:ascii="Century" w:hAnsi="Century"/>
          <w:rtl/>
        </w:rPr>
        <w:t>ביום 23.7.2009</w:t>
      </w:r>
      <w:r>
        <w:rPr>
          <w:rFonts w:ascii="Century" w:hAnsi="Century" w:hint="cs"/>
          <w:rtl/>
        </w:rPr>
        <w:t xml:space="preserve">, </w:t>
      </w:r>
      <w:r w:rsidRPr="00BF1126">
        <w:rPr>
          <w:rFonts w:ascii="Century" w:hAnsi="Century"/>
          <w:rtl/>
        </w:rPr>
        <w:t xml:space="preserve">הוצאו צווים סופיים </w:t>
      </w:r>
      <w:r>
        <w:rPr>
          <w:rFonts w:ascii="Century" w:hAnsi="Century" w:hint="cs"/>
          <w:rtl/>
        </w:rPr>
        <w:t xml:space="preserve">בדבר </w:t>
      </w:r>
      <w:r w:rsidRPr="00BF1126">
        <w:rPr>
          <w:rFonts w:ascii="Century" w:hAnsi="Century"/>
          <w:rtl/>
        </w:rPr>
        <w:t>הפסקת עבודה ו</w:t>
      </w:r>
      <w:r>
        <w:rPr>
          <w:rFonts w:ascii="Century" w:hAnsi="Century"/>
          <w:rtl/>
        </w:rPr>
        <w:t>הריס</w:t>
      </w:r>
      <w:r>
        <w:rPr>
          <w:rFonts w:ascii="Century" w:hAnsi="Century" w:hint="cs"/>
          <w:rtl/>
        </w:rPr>
        <w:t>ת המבנים במאחז</w:t>
      </w:r>
      <w:r w:rsidRPr="00BF1126">
        <w:rPr>
          <w:rFonts w:ascii="Century" w:hAnsi="Century"/>
          <w:rtl/>
        </w:rPr>
        <w:t>.</w:t>
      </w:r>
      <w:r>
        <w:rPr>
          <w:rFonts w:hint="cs"/>
          <w:rtl/>
        </w:rPr>
        <w:t xml:space="preserve"> זאת </w:t>
      </w:r>
      <w:r w:rsidR="0087402B">
        <w:rPr>
          <w:rFonts w:hint="cs"/>
          <w:rtl/>
        </w:rPr>
        <w:t>ו</w:t>
      </w:r>
      <w:r>
        <w:rPr>
          <w:rFonts w:hint="cs"/>
          <w:rtl/>
        </w:rPr>
        <w:t>עוד: בגדרי העתירה שהונחה לפני בית משפט זה ב</w:t>
      </w:r>
      <w:r w:rsidRPr="00165B9D">
        <w:rPr>
          <w:rtl/>
        </w:rPr>
        <w:t xml:space="preserve">בג"ץ 2242/17 </w:t>
      </w:r>
      <w:r w:rsidRPr="002136FC">
        <w:rPr>
          <w:rFonts w:ascii="Century" w:hAnsi="Century" w:cs="Miriam"/>
          <w:b/>
          <w:spacing w:val="0"/>
          <w:sz w:val="22"/>
          <w:szCs w:val="24"/>
          <w:rtl/>
        </w:rPr>
        <w:t>כפר אדומים כפר שיתופי להתיישבות קהילתית נ' שר הביטחון</w:t>
      </w:r>
      <w:r w:rsidRPr="00165B9D">
        <w:rPr>
          <w:rtl/>
        </w:rPr>
        <w:t xml:space="preserve"> (24.</w:t>
      </w:r>
      <w:r>
        <w:rPr>
          <w:rFonts w:hint="cs"/>
          <w:rtl/>
        </w:rPr>
        <w:t>5</w:t>
      </w:r>
      <w:r w:rsidRPr="00165B9D">
        <w:rPr>
          <w:rtl/>
        </w:rPr>
        <w:t>.2018)</w:t>
      </w:r>
      <w:r>
        <w:rPr>
          <w:rFonts w:hint="cs"/>
          <w:rtl/>
        </w:rPr>
        <w:t xml:space="preserve"> (להלן: </w:t>
      </w:r>
      <w:r w:rsidRPr="00AC0FBB">
        <w:rPr>
          <w:rFonts w:ascii="Century" w:hAnsi="Century" w:cs="Miriam" w:hint="eastAsia"/>
          <w:b/>
          <w:spacing w:val="0"/>
          <w:sz w:val="22"/>
          <w:szCs w:val="24"/>
          <w:rtl/>
        </w:rPr>
        <w:t>בג</w:t>
      </w:r>
      <w:r w:rsidRPr="00AC0FBB">
        <w:rPr>
          <w:rFonts w:ascii="Century" w:hAnsi="Century" w:cs="Miriam"/>
          <w:b/>
          <w:spacing w:val="0"/>
          <w:sz w:val="22"/>
          <w:szCs w:val="24"/>
          <w:rtl/>
        </w:rPr>
        <w:t>"</w:t>
      </w:r>
      <w:r w:rsidRPr="00AC0FBB">
        <w:rPr>
          <w:rFonts w:ascii="Century" w:hAnsi="Century" w:cs="Miriam" w:hint="eastAsia"/>
          <w:b/>
          <w:spacing w:val="0"/>
          <w:sz w:val="22"/>
          <w:szCs w:val="24"/>
          <w:rtl/>
        </w:rPr>
        <w:t>ץ</w:t>
      </w:r>
      <w:r w:rsidRPr="00AC0FBB">
        <w:rPr>
          <w:rFonts w:ascii="Century" w:hAnsi="Century" w:cs="Miriam"/>
          <w:b/>
          <w:spacing w:val="0"/>
          <w:sz w:val="22"/>
          <w:szCs w:val="24"/>
          <w:rtl/>
        </w:rPr>
        <w:t xml:space="preserve"> </w:t>
      </w:r>
      <w:r w:rsidRPr="00AC0FBB">
        <w:rPr>
          <w:rFonts w:ascii="Century" w:hAnsi="Century" w:cs="Miriam" w:hint="eastAsia"/>
          <w:b/>
          <w:spacing w:val="0"/>
          <w:sz w:val="22"/>
          <w:szCs w:val="24"/>
          <w:rtl/>
        </w:rPr>
        <w:t>כפר</w:t>
      </w:r>
      <w:r w:rsidRPr="00AC0FBB">
        <w:rPr>
          <w:rFonts w:ascii="Century" w:hAnsi="Century" w:cs="Miriam"/>
          <w:b/>
          <w:spacing w:val="0"/>
          <w:sz w:val="22"/>
          <w:szCs w:val="24"/>
          <w:rtl/>
        </w:rPr>
        <w:t xml:space="preserve"> </w:t>
      </w:r>
      <w:r w:rsidRPr="00AC0FBB">
        <w:rPr>
          <w:rFonts w:ascii="Century" w:hAnsi="Century" w:cs="Miriam" w:hint="eastAsia"/>
          <w:b/>
          <w:spacing w:val="0"/>
          <w:sz w:val="22"/>
          <w:szCs w:val="24"/>
          <w:rtl/>
        </w:rPr>
        <w:t>אדומים</w:t>
      </w:r>
      <w:r>
        <w:rPr>
          <w:rFonts w:hint="cs"/>
          <w:rtl/>
        </w:rPr>
        <w:t>), טענה המדינה לכך שצווי ההריסה צריכים להיות מוצאים אל הפועל בדחיפות, ובית המשפט קיבל את טענתה לנוכח "</w:t>
      </w:r>
      <w:r w:rsidRPr="002136FC">
        <w:rPr>
          <w:rFonts w:ascii="Century" w:hAnsi="Century"/>
          <w:rtl/>
        </w:rPr>
        <w:t xml:space="preserve">חשיבות אסטרטגית בפינוי מקבץ הבנייה הבלתי-חוקי המצוי בסמיכות לעורק תחבורה </w:t>
      </w:r>
      <w:r>
        <w:rPr>
          <w:rFonts w:ascii="Century" w:hAnsi="Century" w:hint="cs"/>
          <w:rtl/>
        </w:rPr>
        <w:t>[...]</w:t>
      </w:r>
      <w:r w:rsidRPr="002136FC">
        <w:rPr>
          <w:rFonts w:ascii="Century" w:hAnsi="Century"/>
          <w:rtl/>
        </w:rPr>
        <w:t xml:space="preserve"> ומעמיד בסכנה ברורה ומוחשית את</w:t>
      </w:r>
      <w:r>
        <w:rPr>
          <w:rFonts w:ascii="Century" w:hAnsi="Century"/>
          <w:rtl/>
        </w:rPr>
        <w:t xml:space="preserve"> המתגוררים בו ואת המשתמשים בדרך</w:t>
      </w:r>
      <w:r>
        <w:rPr>
          <w:rFonts w:ascii="Century" w:hAnsi="Century" w:hint="cs"/>
          <w:rtl/>
        </w:rPr>
        <w:t xml:space="preserve">" (ראו שם, פסקאות 17 ו-33 לפסק דינו של השופט </w:t>
      </w:r>
      <w:r w:rsidRPr="002136FC">
        <w:rPr>
          <w:rFonts w:ascii="Century" w:hAnsi="Century" w:cs="Miriam" w:hint="cs"/>
          <w:b/>
          <w:spacing w:val="0"/>
          <w:sz w:val="22"/>
          <w:szCs w:val="24"/>
          <w:rtl/>
        </w:rPr>
        <w:t>נ' סולברג</w:t>
      </w:r>
      <w:r>
        <w:rPr>
          <w:rFonts w:ascii="Century" w:hAnsi="Century" w:hint="cs"/>
          <w:rtl/>
        </w:rPr>
        <w:t>).</w:t>
      </w:r>
    </w:p>
    <w:p w:rsidR="002413B5" w:rsidRPr="00BF1126" w:rsidRDefault="002413B5" w:rsidP="002413B5">
      <w:pPr>
        <w:pStyle w:val="Ruller40"/>
      </w:pPr>
    </w:p>
    <w:p w:rsidR="002413B5" w:rsidRDefault="002413B5" w:rsidP="002413B5">
      <w:pPr>
        <w:pStyle w:val="Ruller4"/>
      </w:pPr>
      <w:r>
        <w:rPr>
          <w:rFonts w:hint="cs"/>
          <w:rtl/>
        </w:rPr>
        <w:t xml:space="preserve">העתירה שלפנינו היא אחרונה בסדרת עתירות בעניין המאחז. חלק מעתירות אלו הוגשו על ידי דיירי המאחז שביקשו למנוע את הריסתו; עתירות אחרות ביקשונו לחייב את משיבי המדינה לאכוף את חוקי התכנון והבניה ולהרוס את מבני המאחז (להשתלשלות העניינים, ראו: החלטתנו בתיק זה שניתנה ביום 29.9.2021; החלטת השופט </w:t>
      </w:r>
      <w:r w:rsidRPr="00A80F51">
        <w:rPr>
          <w:rFonts w:ascii="Century" w:hAnsi="Century" w:cs="Miriam" w:hint="eastAsia"/>
          <w:b/>
          <w:spacing w:val="0"/>
          <w:sz w:val="22"/>
          <w:szCs w:val="24"/>
          <w:rtl/>
        </w:rPr>
        <w:t>סולברג</w:t>
      </w:r>
      <w:r w:rsidRPr="00D0362A">
        <w:rPr>
          <w:rFonts w:hint="cs"/>
          <w:rtl/>
        </w:rPr>
        <w:t xml:space="preserve"> </w:t>
      </w:r>
      <w:r>
        <w:rPr>
          <w:rFonts w:hint="cs"/>
          <w:rtl/>
        </w:rPr>
        <w:t xml:space="preserve">שניתנה בתיק זה ביום 7.9.2020; וכן </w:t>
      </w:r>
      <w:r w:rsidRPr="00AC0FBB">
        <w:rPr>
          <w:rFonts w:ascii="Century" w:hAnsi="Century" w:cs="Miriam" w:hint="eastAsia"/>
          <w:b/>
          <w:spacing w:val="0"/>
          <w:sz w:val="22"/>
          <w:szCs w:val="24"/>
          <w:rtl/>
        </w:rPr>
        <w:t>בג</w:t>
      </w:r>
      <w:r w:rsidRPr="00AC0FBB">
        <w:rPr>
          <w:rFonts w:ascii="Century" w:hAnsi="Century" w:cs="Miriam"/>
          <w:b/>
          <w:spacing w:val="0"/>
          <w:sz w:val="22"/>
          <w:szCs w:val="24"/>
          <w:rtl/>
        </w:rPr>
        <w:t>"</w:t>
      </w:r>
      <w:r w:rsidRPr="00AC0FBB">
        <w:rPr>
          <w:rFonts w:ascii="Century" w:hAnsi="Century" w:cs="Miriam" w:hint="eastAsia"/>
          <w:b/>
          <w:spacing w:val="0"/>
          <w:sz w:val="22"/>
          <w:szCs w:val="24"/>
          <w:rtl/>
        </w:rPr>
        <w:t>ץ</w:t>
      </w:r>
      <w:r w:rsidRPr="00AC0FBB">
        <w:rPr>
          <w:rFonts w:ascii="Century" w:hAnsi="Century" w:cs="Miriam"/>
          <w:b/>
          <w:spacing w:val="0"/>
          <w:sz w:val="22"/>
          <w:szCs w:val="24"/>
          <w:rtl/>
        </w:rPr>
        <w:t xml:space="preserve"> </w:t>
      </w:r>
      <w:r w:rsidRPr="00AC0FBB">
        <w:rPr>
          <w:rFonts w:ascii="Century" w:hAnsi="Century" w:cs="Miriam" w:hint="eastAsia"/>
          <w:b/>
          <w:spacing w:val="0"/>
          <w:sz w:val="22"/>
          <w:szCs w:val="24"/>
          <w:rtl/>
        </w:rPr>
        <w:t>כפר</w:t>
      </w:r>
      <w:r w:rsidRPr="00AC0FBB">
        <w:rPr>
          <w:rFonts w:ascii="Century" w:hAnsi="Century" w:cs="Miriam"/>
          <w:b/>
          <w:spacing w:val="0"/>
          <w:sz w:val="22"/>
          <w:szCs w:val="24"/>
          <w:rtl/>
        </w:rPr>
        <w:t xml:space="preserve"> </w:t>
      </w:r>
      <w:r w:rsidRPr="00AC0FBB">
        <w:rPr>
          <w:rFonts w:ascii="Century" w:hAnsi="Century" w:cs="Miriam" w:hint="eastAsia"/>
          <w:b/>
          <w:spacing w:val="0"/>
          <w:sz w:val="22"/>
          <w:szCs w:val="24"/>
          <w:rtl/>
        </w:rPr>
        <w:t>אדומים</w:t>
      </w:r>
      <w:r>
        <w:rPr>
          <w:rFonts w:ascii="Century" w:hAnsi="Century" w:hint="cs"/>
          <w:sz w:val="22"/>
          <w:rtl/>
        </w:rPr>
        <w:t xml:space="preserve">, פסקאות 7-5 לפסק דינו של השופט </w:t>
      </w:r>
      <w:r w:rsidRPr="002136FC">
        <w:rPr>
          <w:rFonts w:ascii="Century" w:hAnsi="Century" w:cs="Miriam" w:hint="cs"/>
          <w:b/>
          <w:spacing w:val="0"/>
          <w:sz w:val="22"/>
          <w:szCs w:val="24"/>
          <w:rtl/>
        </w:rPr>
        <w:t>סולברג</w:t>
      </w:r>
      <w:r>
        <w:rPr>
          <w:rFonts w:ascii="Century" w:hAnsi="Century" w:hint="cs"/>
          <w:sz w:val="22"/>
          <w:rtl/>
        </w:rPr>
        <w:t xml:space="preserve">). </w:t>
      </w:r>
    </w:p>
    <w:p w:rsidR="002413B5" w:rsidRDefault="002413B5" w:rsidP="002413B5">
      <w:pPr>
        <w:pStyle w:val="Ruller4"/>
        <w:numPr>
          <w:ilvl w:val="0"/>
          <w:numId w:val="0"/>
        </w:numPr>
      </w:pPr>
    </w:p>
    <w:p w:rsidR="002413B5" w:rsidRDefault="002413B5" w:rsidP="002413B5">
      <w:pPr>
        <w:pStyle w:val="Ruller4"/>
      </w:pPr>
      <w:r>
        <w:rPr>
          <w:rFonts w:hint="cs"/>
          <w:rtl/>
        </w:rPr>
        <w:t xml:space="preserve">בפסק הדין שניתן באחת מעתירות אלו, </w:t>
      </w:r>
      <w:r w:rsidRPr="00AC0FBB">
        <w:rPr>
          <w:rFonts w:ascii="Century" w:hAnsi="Century" w:cs="Miriam" w:hint="eastAsia"/>
          <w:b/>
          <w:spacing w:val="0"/>
          <w:sz w:val="22"/>
          <w:szCs w:val="24"/>
          <w:rtl/>
        </w:rPr>
        <w:t>בג</w:t>
      </w:r>
      <w:r w:rsidRPr="00AC0FBB">
        <w:rPr>
          <w:rFonts w:ascii="Century" w:hAnsi="Century" w:cs="Miriam"/>
          <w:b/>
          <w:spacing w:val="0"/>
          <w:sz w:val="22"/>
          <w:szCs w:val="24"/>
          <w:rtl/>
        </w:rPr>
        <w:t>"</w:t>
      </w:r>
      <w:r w:rsidRPr="00AC0FBB">
        <w:rPr>
          <w:rFonts w:ascii="Century" w:hAnsi="Century" w:cs="Miriam" w:hint="eastAsia"/>
          <w:b/>
          <w:spacing w:val="0"/>
          <w:sz w:val="22"/>
          <w:szCs w:val="24"/>
          <w:rtl/>
        </w:rPr>
        <w:t>ץ</w:t>
      </w:r>
      <w:r w:rsidRPr="00AC0FBB">
        <w:rPr>
          <w:rFonts w:ascii="Century" w:hAnsi="Century" w:cs="Miriam"/>
          <w:b/>
          <w:spacing w:val="0"/>
          <w:sz w:val="22"/>
          <w:szCs w:val="24"/>
          <w:rtl/>
        </w:rPr>
        <w:t xml:space="preserve"> </w:t>
      </w:r>
      <w:r w:rsidRPr="00AC0FBB">
        <w:rPr>
          <w:rFonts w:ascii="Century" w:hAnsi="Century" w:cs="Miriam" w:hint="eastAsia"/>
          <w:b/>
          <w:spacing w:val="0"/>
          <w:sz w:val="22"/>
          <w:szCs w:val="24"/>
          <w:rtl/>
        </w:rPr>
        <w:t>כפר</w:t>
      </w:r>
      <w:r w:rsidRPr="00AC0FBB">
        <w:rPr>
          <w:rFonts w:ascii="Century" w:hAnsi="Century" w:cs="Miriam"/>
          <w:b/>
          <w:spacing w:val="0"/>
          <w:sz w:val="22"/>
          <w:szCs w:val="24"/>
          <w:rtl/>
        </w:rPr>
        <w:t xml:space="preserve"> </w:t>
      </w:r>
      <w:r w:rsidRPr="002136FC">
        <w:rPr>
          <w:rFonts w:ascii="Century" w:hAnsi="Century" w:cs="Miriam" w:hint="eastAsia"/>
          <w:b/>
          <w:spacing w:val="0"/>
          <w:sz w:val="22"/>
          <w:szCs w:val="24"/>
          <w:rtl/>
        </w:rPr>
        <w:t>אדומים</w:t>
      </w:r>
      <w:r>
        <w:rPr>
          <w:rFonts w:ascii="Century" w:hAnsi="Century" w:hint="cs"/>
          <w:sz w:val="22"/>
          <w:rtl/>
        </w:rPr>
        <w:t xml:space="preserve">, </w:t>
      </w:r>
      <w:r w:rsidRPr="002136FC">
        <w:rPr>
          <w:rFonts w:ascii="Century" w:hAnsi="Century" w:hint="cs"/>
          <w:sz w:val="22"/>
          <w:rtl/>
        </w:rPr>
        <w:t>קבע</w:t>
      </w:r>
      <w:r w:rsidRPr="002136FC">
        <w:rPr>
          <w:rFonts w:hint="cs"/>
          <w:rtl/>
        </w:rPr>
        <w:t xml:space="preserve"> </w:t>
      </w:r>
      <w:r>
        <w:rPr>
          <w:rFonts w:hint="cs"/>
          <w:rtl/>
        </w:rPr>
        <w:t>חברי, השופט</w:t>
      </w:r>
      <w:r>
        <w:rPr>
          <w:rFonts w:ascii="Century" w:hAnsi="Century" w:cs="Miriam" w:hint="cs"/>
          <w:b/>
          <w:spacing w:val="0"/>
          <w:sz w:val="22"/>
          <w:szCs w:val="24"/>
          <w:rtl/>
        </w:rPr>
        <w:t xml:space="preserve"> </w:t>
      </w:r>
      <w:r w:rsidRPr="00AC0FBB">
        <w:rPr>
          <w:rFonts w:ascii="Century" w:hAnsi="Century" w:cs="Miriam" w:hint="cs"/>
          <w:b/>
          <w:spacing w:val="0"/>
          <w:sz w:val="22"/>
          <w:szCs w:val="24"/>
          <w:rtl/>
        </w:rPr>
        <w:t>סולברג</w:t>
      </w:r>
      <w:r>
        <w:rPr>
          <w:rFonts w:hint="cs"/>
          <w:rtl/>
        </w:rPr>
        <w:t xml:space="preserve">, בהסכמת השופטות </w:t>
      </w:r>
      <w:r w:rsidRPr="00AC0FBB">
        <w:rPr>
          <w:rFonts w:ascii="Century" w:hAnsi="Century" w:cs="Miriam" w:hint="cs"/>
          <w:b/>
          <w:spacing w:val="0"/>
          <w:sz w:val="22"/>
          <w:szCs w:val="24"/>
          <w:rtl/>
        </w:rPr>
        <w:t>ע' ברון</w:t>
      </w:r>
      <w:r>
        <w:rPr>
          <w:rFonts w:hint="cs"/>
          <w:rtl/>
        </w:rPr>
        <w:t xml:space="preserve"> ו</w:t>
      </w:r>
      <w:r w:rsidRPr="00AC0FBB">
        <w:rPr>
          <w:rFonts w:ascii="Century" w:hAnsi="Century" w:cs="Miriam" w:hint="cs"/>
          <w:b/>
          <w:spacing w:val="0"/>
          <w:sz w:val="22"/>
          <w:szCs w:val="24"/>
          <w:rtl/>
        </w:rPr>
        <w:t>י' וילנר</w:t>
      </w:r>
      <w:r>
        <w:rPr>
          <w:rFonts w:hint="cs"/>
          <w:rtl/>
        </w:rPr>
        <w:t>, כדלקמן:</w:t>
      </w:r>
    </w:p>
    <w:p w:rsidR="002413B5" w:rsidRDefault="002413B5" w:rsidP="002413B5">
      <w:pPr>
        <w:pStyle w:val="Ruller4"/>
        <w:numPr>
          <w:ilvl w:val="0"/>
          <w:numId w:val="0"/>
        </w:numPr>
        <w:rPr>
          <w:rtl/>
        </w:rPr>
      </w:pPr>
    </w:p>
    <w:p w:rsidR="002413B5" w:rsidRDefault="002413B5" w:rsidP="002413B5">
      <w:pPr>
        <w:pStyle w:val="Ruller5"/>
        <w:rPr>
          <w:rtl/>
        </w:rPr>
      </w:pPr>
      <w:r>
        <w:rPr>
          <w:rFonts w:hint="cs"/>
          <w:rtl/>
        </w:rPr>
        <w:t>"</w:t>
      </w:r>
      <w:r>
        <w:rPr>
          <w:rFonts w:hint="eastAsia"/>
          <w:rtl/>
        </w:rPr>
        <w:t>שורת</w:t>
      </w:r>
      <w:r>
        <w:rPr>
          <w:rtl/>
        </w:rPr>
        <w:t xml:space="preserve"> </w:t>
      </w:r>
      <w:r>
        <w:rPr>
          <w:rFonts w:hint="eastAsia"/>
          <w:rtl/>
        </w:rPr>
        <w:t>הדין</w:t>
      </w:r>
      <w:r>
        <w:rPr>
          <w:rtl/>
        </w:rPr>
        <w:t xml:space="preserve"> </w:t>
      </w:r>
      <w:r>
        <w:rPr>
          <w:rFonts w:hint="eastAsia"/>
          <w:rtl/>
        </w:rPr>
        <w:t>היא</w:t>
      </w:r>
      <w:r>
        <w:rPr>
          <w:rtl/>
        </w:rPr>
        <w:t xml:space="preserve"> </w:t>
      </w:r>
      <w:r>
        <w:rPr>
          <w:rFonts w:hint="eastAsia"/>
          <w:rtl/>
        </w:rPr>
        <w:t>שאין</w:t>
      </w:r>
      <w:r>
        <w:rPr>
          <w:rtl/>
        </w:rPr>
        <w:t xml:space="preserve"> </w:t>
      </w:r>
      <w:r>
        <w:rPr>
          <w:rFonts w:hint="eastAsia"/>
          <w:rtl/>
        </w:rPr>
        <w:t>עילה</w:t>
      </w:r>
      <w:r>
        <w:rPr>
          <w:rtl/>
        </w:rPr>
        <w:t xml:space="preserve"> </w:t>
      </w:r>
      <w:r>
        <w:rPr>
          <w:rFonts w:hint="eastAsia"/>
          <w:rtl/>
        </w:rPr>
        <w:t>משפטית</w:t>
      </w:r>
      <w:r>
        <w:rPr>
          <w:rtl/>
        </w:rPr>
        <w:t xml:space="preserve"> </w:t>
      </w:r>
      <w:r>
        <w:rPr>
          <w:rFonts w:hint="eastAsia"/>
          <w:rtl/>
        </w:rPr>
        <w:t>להתערב</w:t>
      </w:r>
      <w:r>
        <w:rPr>
          <w:rtl/>
        </w:rPr>
        <w:t xml:space="preserve"> </w:t>
      </w:r>
      <w:r>
        <w:rPr>
          <w:rFonts w:hint="eastAsia"/>
          <w:rtl/>
        </w:rPr>
        <w:t>בהחלטתו</w:t>
      </w:r>
      <w:r>
        <w:rPr>
          <w:rtl/>
        </w:rPr>
        <w:t xml:space="preserve"> </w:t>
      </w:r>
      <w:r>
        <w:rPr>
          <w:rFonts w:hint="eastAsia"/>
          <w:rtl/>
        </w:rPr>
        <w:t>של</w:t>
      </w:r>
      <w:r>
        <w:rPr>
          <w:rtl/>
        </w:rPr>
        <w:t xml:space="preserve"> </w:t>
      </w:r>
      <w:r>
        <w:rPr>
          <w:rFonts w:hint="eastAsia"/>
          <w:rtl/>
        </w:rPr>
        <w:t>שר</w:t>
      </w:r>
      <w:r>
        <w:rPr>
          <w:rtl/>
        </w:rPr>
        <w:t xml:space="preserve"> </w:t>
      </w:r>
      <w:r>
        <w:rPr>
          <w:rFonts w:hint="eastAsia"/>
          <w:rtl/>
        </w:rPr>
        <w:t>הביטחון</w:t>
      </w:r>
      <w:r>
        <w:rPr>
          <w:rtl/>
        </w:rPr>
        <w:t xml:space="preserve"> </w:t>
      </w:r>
      <w:r>
        <w:rPr>
          <w:rFonts w:hint="eastAsia"/>
          <w:rtl/>
        </w:rPr>
        <w:t>לממש</w:t>
      </w:r>
      <w:r>
        <w:rPr>
          <w:rtl/>
        </w:rPr>
        <w:t xml:space="preserve"> </w:t>
      </w:r>
      <w:r>
        <w:rPr>
          <w:rFonts w:hint="eastAsia"/>
          <w:rtl/>
        </w:rPr>
        <w:t>את</w:t>
      </w:r>
      <w:r>
        <w:rPr>
          <w:rtl/>
        </w:rPr>
        <w:t xml:space="preserve"> </w:t>
      </w:r>
      <w:r>
        <w:rPr>
          <w:rFonts w:hint="eastAsia"/>
          <w:rtl/>
        </w:rPr>
        <w:t>צווי</w:t>
      </w:r>
      <w:r>
        <w:rPr>
          <w:rtl/>
        </w:rPr>
        <w:t xml:space="preserve"> </w:t>
      </w:r>
      <w:r>
        <w:rPr>
          <w:rFonts w:hint="eastAsia"/>
          <w:rtl/>
        </w:rPr>
        <w:t>ההריסה</w:t>
      </w:r>
      <w:r>
        <w:rPr>
          <w:rtl/>
        </w:rPr>
        <w:t xml:space="preserve"> </w:t>
      </w:r>
      <w:r>
        <w:rPr>
          <w:rFonts w:hint="eastAsia"/>
          <w:rtl/>
        </w:rPr>
        <w:t>שהוצאו</w:t>
      </w:r>
      <w:r>
        <w:rPr>
          <w:rtl/>
        </w:rPr>
        <w:t xml:space="preserve"> </w:t>
      </w:r>
      <w:r>
        <w:rPr>
          <w:rFonts w:hint="eastAsia"/>
          <w:rtl/>
        </w:rPr>
        <w:t>למבנים</w:t>
      </w:r>
      <w:r>
        <w:rPr>
          <w:rtl/>
        </w:rPr>
        <w:t xml:space="preserve"> </w:t>
      </w:r>
      <w:r>
        <w:rPr>
          <w:rFonts w:hint="eastAsia"/>
          <w:rtl/>
        </w:rPr>
        <w:t>הבלתי</w:t>
      </w:r>
      <w:r>
        <w:rPr>
          <w:rtl/>
        </w:rPr>
        <w:t xml:space="preserve"> </w:t>
      </w:r>
      <w:r>
        <w:rPr>
          <w:rFonts w:hint="eastAsia"/>
          <w:rtl/>
        </w:rPr>
        <w:t>חוקיים</w:t>
      </w:r>
      <w:r>
        <w:rPr>
          <w:rtl/>
        </w:rPr>
        <w:t xml:space="preserve"> </w:t>
      </w:r>
      <w:r>
        <w:rPr>
          <w:rFonts w:hint="eastAsia"/>
          <w:rtl/>
        </w:rPr>
        <w:t>שבחאן</w:t>
      </w:r>
      <w:r>
        <w:rPr>
          <w:rtl/>
        </w:rPr>
        <w:t xml:space="preserve"> </w:t>
      </w:r>
      <w:r>
        <w:rPr>
          <w:rFonts w:hint="eastAsia"/>
          <w:rtl/>
        </w:rPr>
        <w:t>אל</w:t>
      </w:r>
      <w:r>
        <w:rPr>
          <w:rtl/>
        </w:rPr>
        <w:t>-</w:t>
      </w:r>
      <w:proofErr w:type="spellStart"/>
      <w:r>
        <w:rPr>
          <w:rFonts w:hint="eastAsia"/>
          <w:rtl/>
        </w:rPr>
        <w:t>אחמר</w:t>
      </w:r>
      <w:proofErr w:type="spellEnd"/>
      <w:r>
        <w:rPr>
          <w:rtl/>
        </w:rPr>
        <w:t>.</w:t>
      </w:r>
      <w:r>
        <w:rPr>
          <w:rFonts w:hint="cs"/>
          <w:rtl/>
        </w:rPr>
        <w:t xml:space="preserve"> </w:t>
      </w:r>
      <w:r>
        <w:rPr>
          <w:rFonts w:hint="eastAsia"/>
          <w:rtl/>
        </w:rPr>
        <w:t>שורת</w:t>
      </w:r>
      <w:r>
        <w:rPr>
          <w:rtl/>
        </w:rPr>
        <w:t xml:space="preserve"> </w:t>
      </w:r>
      <w:r>
        <w:rPr>
          <w:rFonts w:hint="eastAsia"/>
          <w:rtl/>
        </w:rPr>
        <w:t>הדין</w:t>
      </w:r>
      <w:r>
        <w:rPr>
          <w:rtl/>
        </w:rPr>
        <w:t xml:space="preserve"> </w:t>
      </w:r>
      <w:r>
        <w:rPr>
          <w:rFonts w:hint="eastAsia"/>
          <w:rtl/>
        </w:rPr>
        <w:t>אינה</w:t>
      </w:r>
      <w:r>
        <w:rPr>
          <w:rtl/>
        </w:rPr>
        <w:t xml:space="preserve"> </w:t>
      </w:r>
      <w:r>
        <w:rPr>
          <w:rFonts w:hint="eastAsia"/>
          <w:rtl/>
        </w:rPr>
        <w:t>מתעלמת</w:t>
      </w:r>
      <w:r>
        <w:rPr>
          <w:rtl/>
        </w:rPr>
        <w:t xml:space="preserve"> </w:t>
      </w:r>
      <w:r>
        <w:rPr>
          <w:rFonts w:hint="eastAsia"/>
          <w:rtl/>
        </w:rPr>
        <w:t>מהמורכבות</w:t>
      </w:r>
      <w:r>
        <w:rPr>
          <w:rtl/>
        </w:rPr>
        <w:t xml:space="preserve"> </w:t>
      </w:r>
      <w:r>
        <w:rPr>
          <w:rFonts w:hint="eastAsia"/>
          <w:rtl/>
        </w:rPr>
        <w:t>האנושית</w:t>
      </w:r>
      <w:r>
        <w:rPr>
          <w:rtl/>
        </w:rPr>
        <w:t xml:space="preserve"> </w:t>
      </w:r>
      <w:r>
        <w:rPr>
          <w:rFonts w:hint="eastAsia"/>
          <w:rtl/>
        </w:rPr>
        <w:t>הכרוכה</w:t>
      </w:r>
      <w:r>
        <w:rPr>
          <w:rtl/>
        </w:rPr>
        <w:t xml:space="preserve">, </w:t>
      </w:r>
      <w:r>
        <w:rPr>
          <w:rFonts w:hint="eastAsia"/>
          <w:rtl/>
        </w:rPr>
        <w:t>באופן</w:t>
      </w:r>
      <w:r>
        <w:rPr>
          <w:rtl/>
        </w:rPr>
        <w:t xml:space="preserve"> </w:t>
      </w:r>
      <w:r>
        <w:rPr>
          <w:rFonts w:hint="eastAsia"/>
          <w:rtl/>
        </w:rPr>
        <w:t>טבעי</w:t>
      </w:r>
      <w:r>
        <w:rPr>
          <w:rtl/>
        </w:rPr>
        <w:t xml:space="preserve">, </w:t>
      </w:r>
      <w:r>
        <w:rPr>
          <w:rFonts w:hint="eastAsia"/>
          <w:rtl/>
        </w:rPr>
        <w:t>בפינוי</w:t>
      </w:r>
      <w:r>
        <w:rPr>
          <w:rtl/>
        </w:rPr>
        <w:t xml:space="preserve"> </w:t>
      </w:r>
      <w:r>
        <w:rPr>
          <w:rFonts w:hint="eastAsia"/>
          <w:rtl/>
        </w:rPr>
        <w:t>רחב</w:t>
      </w:r>
      <w:r>
        <w:rPr>
          <w:rtl/>
        </w:rPr>
        <w:t xml:space="preserve"> </w:t>
      </w:r>
      <w:r>
        <w:rPr>
          <w:rFonts w:hint="eastAsia"/>
          <w:rtl/>
        </w:rPr>
        <w:t>היקף</w:t>
      </w:r>
      <w:r>
        <w:rPr>
          <w:rtl/>
        </w:rPr>
        <w:t xml:space="preserve"> </w:t>
      </w:r>
      <w:r>
        <w:rPr>
          <w:rFonts w:hint="eastAsia"/>
          <w:rtl/>
        </w:rPr>
        <w:t>של</w:t>
      </w:r>
      <w:r>
        <w:rPr>
          <w:rtl/>
        </w:rPr>
        <w:t xml:space="preserve"> </w:t>
      </w:r>
      <w:r>
        <w:rPr>
          <w:rFonts w:hint="eastAsia"/>
          <w:rtl/>
        </w:rPr>
        <w:t>בנייה</w:t>
      </w:r>
      <w:r>
        <w:rPr>
          <w:rtl/>
        </w:rPr>
        <w:t xml:space="preserve"> </w:t>
      </w:r>
      <w:r>
        <w:rPr>
          <w:rFonts w:hint="eastAsia"/>
          <w:rtl/>
        </w:rPr>
        <w:t>לא</w:t>
      </w:r>
      <w:r>
        <w:rPr>
          <w:rtl/>
        </w:rPr>
        <w:t xml:space="preserve"> </w:t>
      </w:r>
      <w:r>
        <w:rPr>
          <w:rFonts w:hint="eastAsia"/>
          <w:rtl/>
        </w:rPr>
        <w:t>חוקית</w:t>
      </w:r>
      <w:r>
        <w:rPr>
          <w:rtl/>
        </w:rPr>
        <w:t xml:space="preserve">, </w:t>
      </w:r>
      <w:r>
        <w:rPr>
          <w:rFonts w:hint="eastAsia"/>
          <w:rtl/>
        </w:rPr>
        <w:t>חרף</w:t>
      </w:r>
      <w:r>
        <w:rPr>
          <w:rtl/>
        </w:rPr>
        <w:t xml:space="preserve"> </w:t>
      </w:r>
      <w:r>
        <w:rPr>
          <w:rFonts w:hint="eastAsia"/>
          <w:rtl/>
        </w:rPr>
        <w:t>אי</w:t>
      </w:r>
      <w:r>
        <w:rPr>
          <w:rtl/>
        </w:rPr>
        <w:t>-</w:t>
      </w:r>
      <w:r>
        <w:rPr>
          <w:rFonts w:hint="eastAsia"/>
          <w:rtl/>
        </w:rPr>
        <w:t>חוקיותה</w:t>
      </w:r>
      <w:r>
        <w:rPr>
          <w:rtl/>
        </w:rPr>
        <w:t xml:space="preserve">. </w:t>
      </w:r>
      <w:r>
        <w:rPr>
          <w:rFonts w:hint="eastAsia"/>
          <w:rtl/>
        </w:rPr>
        <w:t>אכיפת</w:t>
      </w:r>
      <w:r>
        <w:rPr>
          <w:rtl/>
        </w:rPr>
        <w:t xml:space="preserve"> </w:t>
      </w:r>
      <w:r>
        <w:rPr>
          <w:rFonts w:hint="eastAsia"/>
          <w:rtl/>
        </w:rPr>
        <w:t>הדין</w:t>
      </w:r>
      <w:r>
        <w:rPr>
          <w:rtl/>
        </w:rPr>
        <w:t xml:space="preserve"> </w:t>
      </w:r>
      <w:r>
        <w:rPr>
          <w:rFonts w:hint="eastAsia"/>
          <w:rtl/>
        </w:rPr>
        <w:t>חשובה</w:t>
      </w:r>
      <w:r>
        <w:rPr>
          <w:rtl/>
        </w:rPr>
        <w:t xml:space="preserve">, </w:t>
      </w:r>
      <w:r>
        <w:rPr>
          <w:rFonts w:hint="eastAsia"/>
          <w:rtl/>
        </w:rPr>
        <w:t>כך</w:t>
      </w:r>
      <w:r>
        <w:rPr>
          <w:rtl/>
        </w:rPr>
        <w:t xml:space="preserve"> </w:t>
      </w:r>
      <w:r>
        <w:rPr>
          <w:rFonts w:hint="eastAsia"/>
          <w:rtl/>
        </w:rPr>
        <w:t>גם</w:t>
      </w:r>
      <w:r>
        <w:rPr>
          <w:rtl/>
        </w:rPr>
        <w:t xml:space="preserve"> </w:t>
      </w:r>
      <w:r>
        <w:rPr>
          <w:rFonts w:hint="eastAsia"/>
          <w:rtl/>
        </w:rPr>
        <w:t>השאיפה</w:t>
      </w:r>
      <w:r>
        <w:rPr>
          <w:rtl/>
        </w:rPr>
        <w:t xml:space="preserve"> </w:t>
      </w:r>
      <w:r>
        <w:rPr>
          <w:rFonts w:hint="eastAsia"/>
          <w:rtl/>
        </w:rPr>
        <w:t>להידברות</w:t>
      </w:r>
      <w:r>
        <w:rPr>
          <w:rtl/>
        </w:rPr>
        <w:t xml:space="preserve"> </w:t>
      </w:r>
      <w:r>
        <w:rPr>
          <w:rFonts w:hint="eastAsia"/>
          <w:rtl/>
        </w:rPr>
        <w:t>ולהגעה</w:t>
      </w:r>
      <w:r>
        <w:rPr>
          <w:rtl/>
        </w:rPr>
        <w:t xml:space="preserve"> </w:t>
      </w:r>
      <w:r>
        <w:rPr>
          <w:rFonts w:hint="eastAsia"/>
          <w:rtl/>
        </w:rPr>
        <w:t>לפתרון</w:t>
      </w:r>
      <w:r>
        <w:rPr>
          <w:rtl/>
        </w:rPr>
        <w:t xml:space="preserve"> </w:t>
      </w:r>
      <w:r>
        <w:rPr>
          <w:rFonts w:hint="eastAsia"/>
          <w:rtl/>
        </w:rPr>
        <w:t>בדרכי</w:t>
      </w:r>
      <w:r>
        <w:rPr>
          <w:rtl/>
        </w:rPr>
        <w:t xml:space="preserve"> </w:t>
      </w:r>
      <w:r>
        <w:rPr>
          <w:rFonts w:hint="eastAsia"/>
          <w:rtl/>
        </w:rPr>
        <w:t>שלום</w:t>
      </w:r>
      <w:r>
        <w:rPr>
          <w:rtl/>
        </w:rPr>
        <w:t xml:space="preserve">. </w:t>
      </w:r>
      <w:r>
        <w:rPr>
          <w:rFonts w:hint="eastAsia"/>
          <w:rtl/>
        </w:rPr>
        <w:t>במסגרת</w:t>
      </w:r>
      <w:r>
        <w:rPr>
          <w:rtl/>
        </w:rPr>
        <w:t xml:space="preserve"> </w:t>
      </w:r>
      <w:r>
        <w:rPr>
          <w:rFonts w:hint="eastAsia"/>
          <w:rtl/>
        </w:rPr>
        <w:t>העתירות</w:t>
      </w:r>
      <w:r>
        <w:rPr>
          <w:rtl/>
        </w:rPr>
        <w:t xml:space="preserve"> </w:t>
      </w:r>
      <w:r>
        <w:rPr>
          <w:rFonts w:hint="eastAsia"/>
          <w:rtl/>
        </w:rPr>
        <w:t>נשמעו</w:t>
      </w:r>
      <w:r>
        <w:rPr>
          <w:rtl/>
        </w:rPr>
        <w:t xml:space="preserve"> </w:t>
      </w:r>
      <w:r>
        <w:rPr>
          <w:rFonts w:hint="eastAsia"/>
          <w:rtl/>
        </w:rPr>
        <w:t>היטב</w:t>
      </w:r>
      <w:r>
        <w:rPr>
          <w:rtl/>
        </w:rPr>
        <w:t xml:space="preserve"> </w:t>
      </w:r>
      <w:r>
        <w:rPr>
          <w:rFonts w:hint="eastAsia"/>
          <w:rtl/>
        </w:rPr>
        <w:t>הקולות</w:t>
      </w:r>
      <w:r>
        <w:rPr>
          <w:rtl/>
        </w:rPr>
        <w:t xml:space="preserve"> </w:t>
      </w:r>
      <w:r>
        <w:rPr>
          <w:rFonts w:hint="eastAsia"/>
          <w:rtl/>
        </w:rPr>
        <w:t>הקוראים</w:t>
      </w:r>
      <w:r>
        <w:rPr>
          <w:rtl/>
        </w:rPr>
        <w:t xml:space="preserve"> </w:t>
      </w:r>
      <w:r>
        <w:rPr>
          <w:rFonts w:hint="eastAsia"/>
          <w:rtl/>
        </w:rPr>
        <w:t>להידברות</w:t>
      </w:r>
      <w:r>
        <w:rPr>
          <w:rtl/>
        </w:rPr>
        <w:t xml:space="preserve"> </w:t>
      </w:r>
      <w:r>
        <w:rPr>
          <w:rFonts w:hint="eastAsia"/>
          <w:rtl/>
        </w:rPr>
        <w:t>ולפתרון</w:t>
      </w:r>
      <w:r>
        <w:rPr>
          <w:rtl/>
        </w:rPr>
        <w:t xml:space="preserve"> </w:t>
      </w:r>
      <w:r>
        <w:rPr>
          <w:rFonts w:hint="eastAsia"/>
          <w:rtl/>
        </w:rPr>
        <w:t>מוסכם</w:t>
      </w:r>
      <w:r>
        <w:rPr>
          <w:rtl/>
        </w:rPr>
        <w:t xml:space="preserve">. </w:t>
      </w:r>
      <w:r>
        <w:rPr>
          <w:rFonts w:hint="eastAsia"/>
          <w:rtl/>
        </w:rPr>
        <w:t>אף</w:t>
      </w:r>
      <w:r>
        <w:rPr>
          <w:rtl/>
        </w:rPr>
        <w:t xml:space="preserve"> </w:t>
      </w:r>
      <w:r>
        <w:rPr>
          <w:rFonts w:hint="eastAsia"/>
          <w:rtl/>
        </w:rPr>
        <w:t>אנו</w:t>
      </w:r>
      <w:r>
        <w:rPr>
          <w:rtl/>
        </w:rPr>
        <w:t xml:space="preserve"> </w:t>
      </w:r>
      <w:r>
        <w:rPr>
          <w:rFonts w:hint="eastAsia"/>
          <w:rtl/>
        </w:rPr>
        <w:t>ביקשנו</w:t>
      </w:r>
      <w:r>
        <w:rPr>
          <w:rtl/>
        </w:rPr>
        <w:t xml:space="preserve"> </w:t>
      </w:r>
      <w:r>
        <w:rPr>
          <w:rFonts w:hint="eastAsia"/>
          <w:rtl/>
        </w:rPr>
        <w:t>לבחון</w:t>
      </w:r>
      <w:r>
        <w:rPr>
          <w:rtl/>
        </w:rPr>
        <w:t xml:space="preserve"> </w:t>
      </w:r>
      <w:r>
        <w:rPr>
          <w:rFonts w:hint="eastAsia"/>
          <w:rtl/>
        </w:rPr>
        <w:t>אם</w:t>
      </w:r>
      <w:r>
        <w:rPr>
          <w:rtl/>
        </w:rPr>
        <w:t xml:space="preserve"> </w:t>
      </w:r>
      <w:r>
        <w:rPr>
          <w:rFonts w:hint="eastAsia"/>
          <w:rtl/>
        </w:rPr>
        <w:t>עוד</w:t>
      </w:r>
      <w:r>
        <w:rPr>
          <w:rtl/>
        </w:rPr>
        <w:t xml:space="preserve"> </w:t>
      </w:r>
      <w:r>
        <w:rPr>
          <w:rFonts w:hint="eastAsia"/>
          <w:rtl/>
        </w:rPr>
        <w:t>יש</w:t>
      </w:r>
      <w:r>
        <w:rPr>
          <w:rtl/>
        </w:rPr>
        <w:t xml:space="preserve"> </w:t>
      </w:r>
      <w:r>
        <w:rPr>
          <w:rFonts w:hint="eastAsia"/>
          <w:rtl/>
        </w:rPr>
        <w:t>הצעה</w:t>
      </w:r>
      <w:r>
        <w:rPr>
          <w:rtl/>
        </w:rPr>
        <w:t xml:space="preserve"> </w:t>
      </w:r>
      <w:r>
        <w:rPr>
          <w:rFonts w:hint="eastAsia"/>
          <w:rtl/>
        </w:rPr>
        <w:t>קונקרטית</w:t>
      </w:r>
      <w:r>
        <w:rPr>
          <w:rtl/>
        </w:rPr>
        <w:t xml:space="preserve"> </w:t>
      </w:r>
      <w:r>
        <w:rPr>
          <w:rFonts w:hint="eastAsia"/>
          <w:rtl/>
        </w:rPr>
        <w:t>שיכולה</w:t>
      </w:r>
      <w:r>
        <w:rPr>
          <w:rtl/>
        </w:rPr>
        <w:t xml:space="preserve"> </w:t>
      </w:r>
      <w:r>
        <w:rPr>
          <w:rFonts w:hint="eastAsia"/>
          <w:rtl/>
        </w:rPr>
        <w:lastRenderedPageBreak/>
        <w:t>לשמש</w:t>
      </w:r>
      <w:r>
        <w:rPr>
          <w:rtl/>
        </w:rPr>
        <w:t xml:space="preserve"> </w:t>
      </w:r>
      <w:r>
        <w:rPr>
          <w:rFonts w:hint="eastAsia"/>
          <w:rtl/>
        </w:rPr>
        <w:t>בסיס</w:t>
      </w:r>
      <w:r>
        <w:rPr>
          <w:rtl/>
        </w:rPr>
        <w:t xml:space="preserve"> </w:t>
      </w:r>
      <w:r>
        <w:rPr>
          <w:rFonts w:hint="eastAsia"/>
          <w:rtl/>
        </w:rPr>
        <w:t>להידברות</w:t>
      </w:r>
      <w:r>
        <w:rPr>
          <w:rtl/>
        </w:rPr>
        <w:t xml:space="preserve"> </w:t>
      </w:r>
      <w:r>
        <w:rPr>
          <w:rFonts w:hint="eastAsia"/>
          <w:rtl/>
        </w:rPr>
        <w:t>מחודשת</w:t>
      </w:r>
      <w:r>
        <w:rPr>
          <w:rtl/>
        </w:rPr>
        <w:t xml:space="preserve"> </w:t>
      </w:r>
      <w:r>
        <w:rPr>
          <w:rFonts w:hint="eastAsia"/>
          <w:rtl/>
        </w:rPr>
        <w:t>שכזו</w:t>
      </w:r>
      <w:r>
        <w:rPr>
          <w:rtl/>
        </w:rPr>
        <w:t xml:space="preserve">, </w:t>
      </w:r>
      <w:r>
        <w:rPr>
          <w:rFonts w:hint="eastAsia"/>
          <w:rtl/>
        </w:rPr>
        <w:t>חרף</w:t>
      </w:r>
      <w:r>
        <w:rPr>
          <w:rtl/>
        </w:rPr>
        <w:t xml:space="preserve"> </w:t>
      </w:r>
      <w:r>
        <w:rPr>
          <w:rFonts w:hint="eastAsia"/>
          <w:rtl/>
        </w:rPr>
        <w:t>העיתוי</w:t>
      </w:r>
      <w:r>
        <w:rPr>
          <w:rtl/>
        </w:rPr>
        <w:t xml:space="preserve"> </w:t>
      </w:r>
      <w:r>
        <w:rPr>
          <w:rFonts w:hint="eastAsia"/>
          <w:rtl/>
        </w:rPr>
        <w:t>המאוחר</w:t>
      </w:r>
      <w:r>
        <w:rPr>
          <w:rtl/>
        </w:rPr>
        <w:t xml:space="preserve"> </w:t>
      </w:r>
      <w:r>
        <w:rPr>
          <w:rFonts w:hint="eastAsia"/>
          <w:rtl/>
        </w:rPr>
        <w:t>שבו</w:t>
      </w:r>
      <w:r>
        <w:rPr>
          <w:rtl/>
        </w:rPr>
        <w:t xml:space="preserve"> </w:t>
      </w:r>
      <w:r>
        <w:rPr>
          <w:rFonts w:hint="eastAsia"/>
          <w:rtl/>
        </w:rPr>
        <w:t>אנו</w:t>
      </w:r>
      <w:r>
        <w:rPr>
          <w:rtl/>
        </w:rPr>
        <w:t xml:space="preserve"> </w:t>
      </w:r>
      <w:r>
        <w:rPr>
          <w:rFonts w:hint="eastAsia"/>
          <w:rtl/>
        </w:rPr>
        <w:t>מצויים</w:t>
      </w:r>
      <w:r>
        <w:rPr>
          <w:rtl/>
        </w:rPr>
        <w:t xml:space="preserve">. </w:t>
      </w:r>
      <w:r>
        <w:rPr>
          <w:rFonts w:hint="eastAsia"/>
          <w:rtl/>
        </w:rPr>
        <w:t>אולם</w:t>
      </w:r>
      <w:r>
        <w:rPr>
          <w:rtl/>
        </w:rPr>
        <w:t xml:space="preserve"> </w:t>
      </w:r>
      <w:r>
        <w:rPr>
          <w:rFonts w:hint="eastAsia"/>
          <w:rtl/>
        </w:rPr>
        <w:t>מן</w:t>
      </w:r>
      <w:r>
        <w:rPr>
          <w:rtl/>
        </w:rPr>
        <w:t xml:space="preserve"> </w:t>
      </w:r>
      <w:r>
        <w:rPr>
          <w:rFonts w:hint="eastAsia"/>
          <w:rtl/>
        </w:rPr>
        <w:t>העבר</w:t>
      </w:r>
      <w:r>
        <w:rPr>
          <w:rtl/>
        </w:rPr>
        <w:t xml:space="preserve"> </w:t>
      </w:r>
      <w:r>
        <w:rPr>
          <w:rFonts w:hint="eastAsia"/>
          <w:rtl/>
        </w:rPr>
        <w:t>השני</w:t>
      </w:r>
      <w:r>
        <w:rPr>
          <w:rtl/>
        </w:rPr>
        <w:t xml:space="preserve">, </w:t>
      </w:r>
      <w:r>
        <w:rPr>
          <w:rFonts w:hint="eastAsia"/>
          <w:rtl/>
        </w:rPr>
        <w:t>שורת</w:t>
      </w:r>
      <w:r>
        <w:rPr>
          <w:rtl/>
        </w:rPr>
        <w:t xml:space="preserve"> </w:t>
      </w:r>
      <w:r>
        <w:rPr>
          <w:rFonts w:hint="eastAsia"/>
          <w:rtl/>
        </w:rPr>
        <w:t>הדין</w:t>
      </w:r>
      <w:r>
        <w:rPr>
          <w:rtl/>
        </w:rPr>
        <w:t xml:space="preserve"> </w:t>
      </w:r>
      <w:r>
        <w:rPr>
          <w:rFonts w:hint="eastAsia"/>
          <w:rtl/>
        </w:rPr>
        <w:t>אינה</w:t>
      </w:r>
      <w:r>
        <w:rPr>
          <w:rtl/>
        </w:rPr>
        <w:t xml:space="preserve"> </w:t>
      </w:r>
      <w:r>
        <w:rPr>
          <w:rFonts w:hint="eastAsia"/>
          <w:rtl/>
        </w:rPr>
        <w:t>כפופה</w:t>
      </w:r>
      <w:r>
        <w:rPr>
          <w:rtl/>
        </w:rPr>
        <w:t xml:space="preserve"> </w:t>
      </w:r>
      <w:r>
        <w:rPr>
          <w:rFonts w:hint="eastAsia"/>
          <w:rtl/>
        </w:rPr>
        <w:t>לשאיפה</w:t>
      </w:r>
      <w:r>
        <w:rPr>
          <w:rtl/>
        </w:rPr>
        <w:t xml:space="preserve"> </w:t>
      </w:r>
      <w:r>
        <w:rPr>
          <w:rFonts w:hint="eastAsia"/>
          <w:rtl/>
        </w:rPr>
        <w:t>זו</w:t>
      </w:r>
      <w:r>
        <w:rPr>
          <w:rtl/>
        </w:rPr>
        <w:t xml:space="preserve">. </w:t>
      </w:r>
      <w:r>
        <w:rPr>
          <w:rFonts w:hint="eastAsia"/>
          <w:rtl/>
        </w:rPr>
        <w:t>בסופו</w:t>
      </w:r>
      <w:r>
        <w:rPr>
          <w:rtl/>
        </w:rPr>
        <w:t xml:space="preserve"> </w:t>
      </w:r>
      <w:r>
        <w:rPr>
          <w:rFonts w:hint="eastAsia"/>
          <w:rtl/>
        </w:rPr>
        <w:t>של</w:t>
      </w:r>
      <w:r>
        <w:rPr>
          <w:rtl/>
        </w:rPr>
        <w:t xml:space="preserve"> </w:t>
      </w:r>
      <w:r>
        <w:rPr>
          <w:rFonts w:hint="eastAsia"/>
          <w:rtl/>
        </w:rPr>
        <w:t>דבר</w:t>
      </w:r>
      <w:r>
        <w:rPr>
          <w:rtl/>
        </w:rPr>
        <w:t xml:space="preserve">, </w:t>
      </w:r>
      <w:r>
        <w:rPr>
          <w:rFonts w:hint="eastAsia"/>
          <w:rtl/>
        </w:rPr>
        <w:t>אנו</w:t>
      </w:r>
      <w:r>
        <w:rPr>
          <w:rtl/>
        </w:rPr>
        <w:t xml:space="preserve"> </w:t>
      </w:r>
      <w:r>
        <w:rPr>
          <w:rFonts w:hint="eastAsia"/>
          <w:rtl/>
        </w:rPr>
        <w:t>כבר</w:t>
      </w:r>
      <w:r>
        <w:rPr>
          <w:rtl/>
        </w:rPr>
        <w:t xml:space="preserve"> </w:t>
      </w:r>
      <w:r>
        <w:rPr>
          <w:rFonts w:hint="eastAsia"/>
          <w:rtl/>
        </w:rPr>
        <w:t>אחרי</w:t>
      </w:r>
      <w:r>
        <w:rPr>
          <w:rtl/>
        </w:rPr>
        <w:t xml:space="preserve"> '</w:t>
      </w:r>
      <w:r>
        <w:rPr>
          <w:rFonts w:hint="eastAsia"/>
          <w:rtl/>
        </w:rPr>
        <w:t>הדקה</w:t>
      </w:r>
      <w:r>
        <w:rPr>
          <w:rtl/>
        </w:rPr>
        <w:t xml:space="preserve"> </w:t>
      </w:r>
      <w:r>
        <w:rPr>
          <w:rFonts w:hint="eastAsia"/>
          <w:rtl/>
        </w:rPr>
        <w:t>ה</w:t>
      </w:r>
      <w:r>
        <w:rPr>
          <w:rtl/>
        </w:rPr>
        <w:t xml:space="preserve">-90'. </w:t>
      </w:r>
      <w:r>
        <w:rPr>
          <w:rFonts w:hint="eastAsia"/>
          <w:rtl/>
        </w:rPr>
        <w:t>צווי</w:t>
      </w:r>
      <w:r>
        <w:rPr>
          <w:rtl/>
        </w:rPr>
        <w:t xml:space="preserve"> </w:t>
      </w:r>
      <w:r>
        <w:rPr>
          <w:rFonts w:hint="eastAsia"/>
          <w:rtl/>
        </w:rPr>
        <w:t>ההריסה</w:t>
      </w:r>
      <w:r>
        <w:rPr>
          <w:rtl/>
        </w:rPr>
        <w:t xml:space="preserve"> </w:t>
      </w:r>
      <w:r>
        <w:rPr>
          <w:rFonts w:hint="eastAsia"/>
          <w:rtl/>
        </w:rPr>
        <w:t>הראשונים</w:t>
      </w:r>
      <w:r>
        <w:rPr>
          <w:rtl/>
        </w:rPr>
        <w:t xml:space="preserve"> </w:t>
      </w:r>
      <w:r>
        <w:rPr>
          <w:rFonts w:hint="eastAsia"/>
          <w:rtl/>
        </w:rPr>
        <w:t>הוצאו</w:t>
      </w:r>
      <w:r>
        <w:rPr>
          <w:rtl/>
        </w:rPr>
        <w:t xml:space="preserve"> </w:t>
      </w:r>
      <w:r>
        <w:rPr>
          <w:rFonts w:hint="eastAsia"/>
          <w:rtl/>
        </w:rPr>
        <w:t>כזכור</w:t>
      </w:r>
      <w:r>
        <w:rPr>
          <w:rtl/>
        </w:rPr>
        <w:t xml:space="preserve"> </w:t>
      </w:r>
      <w:r>
        <w:rPr>
          <w:rFonts w:hint="eastAsia"/>
          <w:rtl/>
        </w:rPr>
        <w:t>עוד</w:t>
      </w:r>
      <w:r>
        <w:rPr>
          <w:rtl/>
        </w:rPr>
        <w:t xml:space="preserve"> </w:t>
      </w:r>
      <w:r>
        <w:rPr>
          <w:rFonts w:hint="eastAsia"/>
          <w:rtl/>
        </w:rPr>
        <w:t>בשנת</w:t>
      </w:r>
      <w:r>
        <w:rPr>
          <w:rtl/>
        </w:rPr>
        <w:t xml:space="preserve"> 2009. </w:t>
      </w:r>
      <w:r>
        <w:rPr>
          <w:rFonts w:hint="eastAsia"/>
          <w:rtl/>
        </w:rPr>
        <w:t>הקולות</w:t>
      </w:r>
      <w:r>
        <w:rPr>
          <w:rtl/>
        </w:rPr>
        <w:t xml:space="preserve"> </w:t>
      </w:r>
      <w:r>
        <w:rPr>
          <w:rFonts w:hint="eastAsia"/>
          <w:rtl/>
        </w:rPr>
        <w:t>שנשמעו</w:t>
      </w:r>
      <w:r>
        <w:rPr>
          <w:rtl/>
        </w:rPr>
        <w:t xml:space="preserve"> </w:t>
      </w:r>
      <w:r>
        <w:rPr>
          <w:rFonts w:hint="eastAsia"/>
          <w:rtl/>
        </w:rPr>
        <w:t>באולם</w:t>
      </w:r>
      <w:r>
        <w:rPr>
          <w:rtl/>
        </w:rPr>
        <w:t xml:space="preserve"> </w:t>
      </w:r>
      <w:r>
        <w:rPr>
          <w:rFonts w:hint="eastAsia"/>
          <w:rtl/>
        </w:rPr>
        <w:t>בית</w:t>
      </w:r>
      <w:r>
        <w:rPr>
          <w:rtl/>
        </w:rPr>
        <w:t xml:space="preserve"> </w:t>
      </w:r>
      <w:r>
        <w:rPr>
          <w:rFonts w:hint="eastAsia"/>
          <w:rtl/>
        </w:rPr>
        <w:t>המשפט</w:t>
      </w:r>
      <w:r>
        <w:rPr>
          <w:rtl/>
        </w:rPr>
        <w:t xml:space="preserve"> </w:t>
      </w:r>
      <w:r>
        <w:rPr>
          <w:rFonts w:hint="eastAsia"/>
          <w:rtl/>
        </w:rPr>
        <w:t>הקוראים</w:t>
      </w:r>
      <w:r>
        <w:rPr>
          <w:rtl/>
        </w:rPr>
        <w:t xml:space="preserve"> </w:t>
      </w:r>
      <w:r>
        <w:rPr>
          <w:rFonts w:hint="eastAsia"/>
          <w:rtl/>
        </w:rPr>
        <w:t>לשיתוף</w:t>
      </w:r>
      <w:r>
        <w:rPr>
          <w:rtl/>
        </w:rPr>
        <w:t xml:space="preserve"> </w:t>
      </w:r>
      <w:r>
        <w:rPr>
          <w:rFonts w:hint="eastAsia"/>
          <w:rtl/>
        </w:rPr>
        <w:t>פעולה</w:t>
      </w:r>
      <w:r>
        <w:rPr>
          <w:rtl/>
        </w:rPr>
        <w:t xml:space="preserve"> </w:t>
      </w:r>
      <w:r>
        <w:rPr>
          <w:rFonts w:hint="eastAsia"/>
          <w:rtl/>
        </w:rPr>
        <w:t>ולדיאלוג</w:t>
      </w:r>
      <w:r>
        <w:rPr>
          <w:rtl/>
        </w:rPr>
        <w:t xml:space="preserve">, </w:t>
      </w:r>
      <w:r>
        <w:rPr>
          <w:rFonts w:hint="eastAsia"/>
          <w:rtl/>
        </w:rPr>
        <w:t>ראויים</w:t>
      </w:r>
      <w:r>
        <w:rPr>
          <w:rtl/>
        </w:rPr>
        <w:t xml:space="preserve"> </w:t>
      </w:r>
      <w:r>
        <w:rPr>
          <w:rFonts w:hint="eastAsia"/>
          <w:rtl/>
        </w:rPr>
        <w:t>ככל</w:t>
      </w:r>
      <w:r>
        <w:rPr>
          <w:rtl/>
        </w:rPr>
        <w:t xml:space="preserve"> </w:t>
      </w:r>
      <w:r>
        <w:rPr>
          <w:rFonts w:hint="eastAsia"/>
          <w:rtl/>
        </w:rPr>
        <w:t>שיהיו</w:t>
      </w:r>
      <w:r>
        <w:rPr>
          <w:rtl/>
        </w:rPr>
        <w:t xml:space="preserve">, </w:t>
      </w:r>
      <w:r>
        <w:rPr>
          <w:rFonts w:hint="eastAsia"/>
          <w:rtl/>
        </w:rPr>
        <w:t>מן</w:t>
      </w:r>
      <w:r>
        <w:rPr>
          <w:rtl/>
        </w:rPr>
        <w:t xml:space="preserve"> </w:t>
      </w:r>
      <w:r>
        <w:rPr>
          <w:rFonts w:hint="eastAsia"/>
          <w:rtl/>
        </w:rPr>
        <w:t>הדין</w:t>
      </w:r>
      <w:r>
        <w:rPr>
          <w:rtl/>
        </w:rPr>
        <w:t xml:space="preserve"> </w:t>
      </w:r>
      <w:r>
        <w:rPr>
          <w:rFonts w:hint="eastAsia"/>
          <w:rtl/>
        </w:rPr>
        <w:t>היה</w:t>
      </w:r>
      <w:r>
        <w:rPr>
          <w:rtl/>
        </w:rPr>
        <w:t xml:space="preserve"> </w:t>
      </w:r>
      <w:r>
        <w:rPr>
          <w:rFonts w:hint="eastAsia"/>
          <w:rtl/>
        </w:rPr>
        <w:t>להפנותם</w:t>
      </w:r>
      <w:r>
        <w:rPr>
          <w:rtl/>
        </w:rPr>
        <w:t xml:space="preserve"> </w:t>
      </w:r>
      <w:r>
        <w:rPr>
          <w:rFonts w:hint="eastAsia"/>
          <w:rtl/>
        </w:rPr>
        <w:t>בזמן</w:t>
      </w:r>
      <w:r>
        <w:rPr>
          <w:rtl/>
        </w:rPr>
        <w:t xml:space="preserve"> </w:t>
      </w:r>
      <w:r>
        <w:rPr>
          <w:rFonts w:hint="eastAsia"/>
          <w:rtl/>
        </w:rPr>
        <w:t>אמת</w:t>
      </w:r>
      <w:r>
        <w:rPr>
          <w:rtl/>
        </w:rPr>
        <w:t xml:space="preserve">, </w:t>
      </w:r>
      <w:r>
        <w:rPr>
          <w:rFonts w:hint="eastAsia"/>
          <w:rtl/>
        </w:rPr>
        <w:t>במהלך</w:t>
      </w:r>
      <w:r>
        <w:rPr>
          <w:rtl/>
        </w:rPr>
        <w:t xml:space="preserve"> </w:t>
      </w:r>
      <w:r>
        <w:rPr>
          <w:rFonts w:hint="eastAsia"/>
          <w:rtl/>
        </w:rPr>
        <w:t>השנים</w:t>
      </w:r>
      <w:r>
        <w:rPr>
          <w:rtl/>
        </w:rPr>
        <w:t xml:space="preserve">, </w:t>
      </w:r>
      <w:r>
        <w:rPr>
          <w:rFonts w:hint="eastAsia"/>
          <w:rtl/>
        </w:rPr>
        <w:t>כלפי</w:t>
      </w:r>
      <w:r>
        <w:rPr>
          <w:rtl/>
        </w:rPr>
        <w:t xml:space="preserve"> </w:t>
      </w:r>
      <w:r>
        <w:rPr>
          <w:rFonts w:hint="eastAsia"/>
          <w:rtl/>
        </w:rPr>
        <w:t>קובעי</w:t>
      </w:r>
      <w:r>
        <w:rPr>
          <w:rtl/>
        </w:rPr>
        <w:t xml:space="preserve"> </w:t>
      </w:r>
      <w:r>
        <w:rPr>
          <w:rFonts w:hint="eastAsia"/>
          <w:rtl/>
        </w:rPr>
        <w:t>המדיניות</w:t>
      </w:r>
      <w:r>
        <w:rPr>
          <w:rtl/>
        </w:rPr>
        <w:t xml:space="preserve">. </w:t>
      </w:r>
      <w:r>
        <w:rPr>
          <w:rFonts w:hint="eastAsia"/>
          <w:rtl/>
        </w:rPr>
        <w:t>בית</w:t>
      </w:r>
      <w:r>
        <w:rPr>
          <w:rtl/>
        </w:rPr>
        <w:t xml:space="preserve"> </w:t>
      </w:r>
      <w:r>
        <w:rPr>
          <w:rFonts w:hint="eastAsia"/>
          <w:rtl/>
        </w:rPr>
        <w:t>המשפט</w:t>
      </w:r>
      <w:r>
        <w:rPr>
          <w:rtl/>
        </w:rPr>
        <w:t xml:space="preserve"> </w:t>
      </w:r>
      <w:r>
        <w:rPr>
          <w:rFonts w:hint="eastAsia"/>
          <w:rtl/>
        </w:rPr>
        <w:t>אינו</w:t>
      </w:r>
      <w:r>
        <w:rPr>
          <w:rtl/>
        </w:rPr>
        <w:t xml:space="preserve"> </w:t>
      </w:r>
      <w:r>
        <w:rPr>
          <w:rFonts w:hint="eastAsia"/>
          <w:rtl/>
        </w:rPr>
        <w:t>בוחן</w:t>
      </w:r>
      <w:r>
        <w:rPr>
          <w:rtl/>
        </w:rPr>
        <w:t xml:space="preserve">, </w:t>
      </w:r>
      <w:r>
        <w:rPr>
          <w:rFonts w:hint="eastAsia"/>
          <w:rtl/>
        </w:rPr>
        <w:t>ואין</w:t>
      </w:r>
      <w:r>
        <w:rPr>
          <w:rtl/>
        </w:rPr>
        <w:t xml:space="preserve"> </w:t>
      </w:r>
      <w:r>
        <w:rPr>
          <w:rFonts w:hint="eastAsia"/>
          <w:rtl/>
        </w:rPr>
        <w:t>ביכולתו</w:t>
      </w:r>
      <w:r>
        <w:rPr>
          <w:rtl/>
        </w:rPr>
        <w:t xml:space="preserve"> </w:t>
      </w:r>
      <w:r>
        <w:rPr>
          <w:rFonts w:hint="eastAsia"/>
          <w:rtl/>
        </w:rPr>
        <w:t>לבחון</w:t>
      </w:r>
      <w:r>
        <w:rPr>
          <w:rtl/>
        </w:rPr>
        <w:t xml:space="preserve">, </w:t>
      </w:r>
      <w:r>
        <w:rPr>
          <w:rFonts w:hint="eastAsia"/>
          <w:rtl/>
        </w:rPr>
        <w:t>את</w:t>
      </w:r>
      <w:r>
        <w:rPr>
          <w:rtl/>
        </w:rPr>
        <w:t xml:space="preserve"> </w:t>
      </w:r>
      <w:r>
        <w:rPr>
          <w:rFonts w:hint="eastAsia"/>
          <w:rtl/>
        </w:rPr>
        <w:t>שאלת</w:t>
      </w:r>
      <w:r>
        <w:rPr>
          <w:rtl/>
        </w:rPr>
        <w:t xml:space="preserve"> </w:t>
      </w:r>
      <w:r>
        <w:rPr>
          <w:rFonts w:hint="eastAsia"/>
          <w:rtl/>
        </w:rPr>
        <w:t>הפתרון</w:t>
      </w:r>
      <w:r>
        <w:rPr>
          <w:rtl/>
        </w:rPr>
        <w:t xml:space="preserve"> </w:t>
      </w:r>
      <w:r>
        <w:rPr>
          <w:rFonts w:hint="eastAsia"/>
          <w:rtl/>
        </w:rPr>
        <w:t>האידיאלי</w:t>
      </w:r>
      <w:r>
        <w:rPr>
          <w:rtl/>
        </w:rPr>
        <w:t xml:space="preserve"> </w:t>
      </w:r>
      <w:r>
        <w:rPr>
          <w:rFonts w:hint="eastAsia"/>
          <w:rtl/>
        </w:rPr>
        <w:t>לתושבי</w:t>
      </w:r>
      <w:r>
        <w:rPr>
          <w:rtl/>
        </w:rPr>
        <w:t xml:space="preserve"> </w:t>
      </w:r>
      <w:r>
        <w:rPr>
          <w:rFonts w:hint="eastAsia"/>
          <w:rtl/>
        </w:rPr>
        <w:t>חאן</w:t>
      </w:r>
      <w:r>
        <w:rPr>
          <w:rtl/>
        </w:rPr>
        <w:t xml:space="preserve"> </w:t>
      </w:r>
      <w:r>
        <w:rPr>
          <w:rFonts w:hint="eastAsia"/>
          <w:rtl/>
        </w:rPr>
        <w:t>אל</w:t>
      </w:r>
      <w:r>
        <w:rPr>
          <w:rtl/>
        </w:rPr>
        <w:t>-</w:t>
      </w:r>
      <w:proofErr w:type="spellStart"/>
      <w:r>
        <w:rPr>
          <w:rFonts w:hint="eastAsia"/>
          <w:rtl/>
        </w:rPr>
        <w:t>אחמר</w:t>
      </w:r>
      <w:proofErr w:type="spellEnd"/>
      <w:r>
        <w:rPr>
          <w:rtl/>
        </w:rPr>
        <w:t xml:space="preserve">; </w:t>
      </w:r>
      <w:r>
        <w:rPr>
          <w:rFonts w:hint="eastAsia"/>
          <w:rtl/>
        </w:rPr>
        <w:t>בית</w:t>
      </w:r>
      <w:r>
        <w:rPr>
          <w:rtl/>
        </w:rPr>
        <w:t xml:space="preserve"> </w:t>
      </w:r>
      <w:r>
        <w:rPr>
          <w:rFonts w:hint="eastAsia"/>
          <w:rtl/>
        </w:rPr>
        <w:t>המשפט</w:t>
      </w:r>
      <w:r>
        <w:rPr>
          <w:rtl/>
        </w:rPr>
        <w:t xml:space="preserve"> </w:t>
      </w:r>
      <w:r>
        <w:rPr>
          <w:rFonts w:hint="eastAsia"/>
          <w:rtl/>
        </w:rPr>
        <w:t>עורך</w:t>
      </w:r>
      <w:r>
        <w:rPr>
          <w:rtl/>
        </w:rPr>
        <w:t xml:space="preserve"> </w:t>
      </w:r>
      <w:r>
        <w:rPr>
          <w:rFonts w:hint="eastAsia"/>
          <w:rtl/>
        </w:rPr>
        <w:t>ביקורת</w:t>
      </w:r>
      <w:r>
        <w:rPr>
          <w:rtl/>
        </w:rPr>
        <w:t xml:space="preserve"> </w:t>
      </w:r>
      <w:r>
        <w:rPr>
          <w:rFonts w:hint="eastAsia"/>
          <w:rtl/>
        </w:rPr>
        <w:t>שיפוטית</w:t>
      </w:r>
      <w:r>
        <w:rPr>
          <w:rtl/>
        </w:rPr>
        <w:t xml:space="preserve"> </w:t>
      </w:r>
      <w:r>
        <w:rPr>
          <w:rFonts w:hint="eastAsia"/>
          <w:rtl/>
        </w:rPr>
        <w:t>על</w:t>
      </w:r>
      <w:r>
        <w:rPr>
          <w:rtl/>
        </w:rPr>
        <w:t xml:space="preserve"> </w:t>
      </w:r>
      <w:r>
        <w:rPr>
          <w:rFonts w:hint="eastAsia"/>
          <w:rtl/>
        </w:rPr>
        <w:t>החלטותיה</w:t>
      </w:r>
      <w:r>
        <w:rPr>
          <w:rtl/>
        </w:rPr>
        <w:t xml:space="preserve"> </w:t>
      </w:r>
      <w:r>
        <w:rPr>
          <w:rFonts w:hint="eastAsia"/>
          <w:rtl/>
        </w:rPr>
        <w:t>של</w:t>
      </w:r>
      <w:r>
        <w:rPr>
          <w:rtl/>
        </w:rPr>
        <w:t xml:space="preserve"> </w:t>
      </w:r>
      <w:r>
        <w:rPr>
          <w:rFonts w:hint="eastAsia"/>
          <w:rtl/>
        </w:rPr>
        <w:t>המדינה</w:t>
      </w:r>
      <w:r>
        <w:rPr>
          <w:rtl/>
        </w:rPr>
        <w:t xml:space="preserve">. </w:t>
      </w:r>
      <w:r>
        <w:rPr>
          <w:rFonts w:hint="eastAsia"/>
          <w:rtl/>
        </w:rPr>
        <w:t>מביקורת</w:t>
      </w:r>
      <w:r>
        <w:rPr>
          <w:rtl/>
        </w:rPr>
        <w:t xml:space="preserve"> </w:t>
      </w:r>
      <w:r>
        <w:rPr>
          <w:rFonts w:hint="eastAsia"/>
          <w:rtl/>
        </w:rPr>
        <w:t>זו</w:t>
      </w:r>
      <w:r>
        <w:rPr>
          <w:rtl/>
        </w:rPr>
        <w:t xml:space="preserve"> </w:t>
      </w:r>
      <w:r>
        <w:rPr>
          <w:rFonts w:hint="eastAsia"/>
          <w:rtl/>
        </w:rPr>
        <w:t>עולה</w:t>
      </w:r>
      <w:r>
        <w:rPr>
          <w:rtl/>
        </w:rPr>
        <w:t xml:space="preserve">, </w:t>
      </w:r>
      <w:r>
        <w:rPr>
          <w:rFonts w:hint="eastAsia"/>
          <w:rtl/>
        </w:rPr>
        <w:t>כי</w:t>
      </w:r>
      <w:r>
        <w:rPr>
          <w:rtl/>
        </w:rPr>
        <w:t xml:space="preserve"> </w:t>
      </w:r>
      <w:r>
        <w:rPr>
          <w:rFonts w:hint="eastAsia"/>
          <w:rtl/>
        </w:rPr>
        <w:t>כשם</w:t>
      </w:r>
      <w:r>
        <w:rPr>
          <w:rtl/>
        </w:rPr>
        <w:t xml:space="preserve"> </w:t>
      </w:r>
      <w:r>
        <w:rPr>
          <w:rFonts w:hint="eastAsia"/>
          <w:rtl/>
        </w:rPr>
        <w:t>שלא</w:t>
      </w:r>
      <w:r>
        <w:rPr>
          <w:rtl/>
        </w:rPr>
        <w:t xml:space="preserve"> </w:t>
      </w:r>
      <w:proofErr w:type="spellStart"/>
      <w:r>
        <w:rPr>
          <w:rFonts w:hint="eastAsia"/>
          <w:rtl/>
        </w:rPr>
        <w:t>היתה</w:t>
      </w:r>
      <w:proofErr w:type="spellEnd"/>
      <w:r>
        <w:rPr>
          <w:rtl/>
        </w:rPr>
        <w:t xml:space="preserve"> </w:t>
      </w:r>
      <w:r>
        <w:rPr>
          <w:rFonts w:hint="eastAsia"/>
          <w:rtl/>
        </w:rPr>
        <w:t>עילה</w:t>
      </w:r>
      <w:r>
        <w:rPr>
          <w:rtl/>
        </w:rPr>
        <w:t xml:space="preserve"> </w:t>
      </w:r>
      <w:r>
        <w:rPr>
          <w:rFonts w:hint="eastAsia"/>
          <w:rtl/>
        </w:rPr>
        <w:t>להורות</w:t>
      </w:r>
      <w:r>
        <w:rPr>
          <w:rtl/>
        </w:rPr>
        <w:t xml:space="preserve"> </w:t>
      </w:r>
      <w:r>
        <w:rPr>
          <w:rFonts w:hint="eastAsia"/>
          <w:rtl/>
        </w:rPr>
        <w:t>למדינה</w:t>
      </w:r>
      <w:r>
        <w:rPr>
          <w:rtl/>
        </w:rPr>
        <w:t xml:space="preserve"> </w:t>
      </w:r>
      <w:r>
        <w:rPr>
          <w:rFonts w:hint="eastAsia"/>
          <w:rtl/>
        </w:rPr>
        <w:t>לאכוף</w:t>
      </w:r>
      <w:r>
        <w:rPr>
          <w:rtl/>
        </w:rPr>
        <w:t xml:space="preserve"> </w:t>
      </w:r>
      <w:r>
        <w:rPr>
          <w:rFonts w:hint="eastAsia"/>
          <w:rtl/>
        </w:rPr>
        <w:t>את</w:t>
      </w:r>
      <w:r>
        <w:rPr>
          <w:rtl/>
        </w:rPr>
        <w:t xml:space="preserve"> </w:t>
      </w:r>
      <w:r>
        <w:rPr>
          <w:rFonts w:hint="eastAsia"/>
          <w:rtl/>
        </w:rPr>
        <w:t>הדין</w:t>
      </w:r>
      <w:r>
        <w:rPr>
          <w:rtl/>
        </w:rPr>
        <w:t xml:space="preserve"> </w:t>
      </w:r>
      <w:r>
        <w:rPr>
          <w:rFonts w:hint="eastAsia"/>
          <w:rtl/>
        </w:rPr>
        <w:t>בשעה</w:t>
      </w:r>
      <w:r>
        <w:rPr>
          <w:rtl/>
        </w:rPr>
        <w:t xml:space="preserve"> </w:t>
      </w:r>
      <w:r>
        <w:rPr>
          <w:rFonts w:hint="eastAsia"/>
          <w:rtl/>
        </w:rPr>
        <w:t>שביקשה</w:t>
      </w:r>
      <w:r>
        <w:rPr>
          <w:rtl/>
        </w:rPr>
        <w:t xml:space="preserve"> </w:t>
      </w:r>
      <w:r>
        <w:rPr>
          <w:rFonts w:hint="eastAsia"/>
          <w:rtl/>
        </w:rPr>
        <w:t>להימנע</w:t>
      </w:r>
      <w:r>
        <w:rPr>
          <w:rtl/>
        </w:rPr>
        <w:t xml:space="preserve"> </w:t>
      </w:r>
      <w:r>
        <w:rPr>
          <w:rFonts w:hint="eastAsia"/>
          <w:rtl/>
        </w:rPr>
        <w:t>מכך</w:t>
      </w:r>
      <w:r>
        <w:rPr>
          <w:rtl/>
        </w:rPr>
        <w:t xml:space="preserve">, </w:t>
      </w:r>
      <w:r>
        <w:rPr>
          <w:rFonts w:hint="eastAsia"/>
          <w:rtl/>
        </w:rPr>
        <w:t>כך</w:t>
      </w:r>
      <w:r>
        <w:rPr>
          <w:rtl/>
        </w:rPr>
        <w:t xml:space="preserve"> </w:t>
      </w:r>
      <w:r>
        <w:rPr>
          <w:rFonts w:hint="eastAsia"/>
          <w:rtl/>
        </w:rPr>
        <w:t>אין</w:t>
      </w:r>
      <w:r>
        <w:rPr>
          <w:rtl/>
        </w:rPr>
        <w:t xml:space="preserve"> </w:t>
      </w:r>
      <w:r>
        <w:rPr>
          <w:rFonts w:hint="eastAsia"/>
          <w:rtl/>
        </w:rPr>
        <w:t>עילה</w:t>
      </w:r>
      <w:r>
        <w:rPr>
          <w:rtl/>
        </w:rPr>
        <w:t xml:space="preserve"> </w:t>
      </w:r>
      <w:r>
        <w:rPr>
          <w:rFonts w:hint="eastAsia"/>
          <w:rtl/>
        </w:rPr>
        <w:t>להורות</w:t>
      </w:r>
      <w:r>
        <w:rPr>
          <w:rtl/>
        </w:rPr>
        <w:t xml:space="preserve"> </w:t>
      </w:r>
      <w:r>
        <w:rPr>
          <w:rFonts w:hint="eastAsia"/>
          <w:rtl/>
        </w:rPr>
        <w:t>לה</w:t>
      </w:r>
      <w:r>
        <w:rPr>
          <w:rtl/>
        </w:rPr>
        <w:t xml:space="preserve"> </w:t>
      </w:r>
      <w:r>
        <w:rPr>
          <w:rFonts w:hint="eastAsia"/>
          <w:rtl/>
        </w:rPr>
        <w:t>להימנע</w:t>
      </w:r>
      <w:r>
        <w:rPr>
          <w:rtl/>
        </w:rPr>
        <w:t xml:space="preserve"> </w:t>
      </w:r>
      <w:r>
        <w:rPr>
          <w:rFonts w:hint="eastAsia"/>
          <w:rtl/>
        </w:rPr>
        <w:t>מלאכוף</w:t>
      </w:r>
      <w:r>
        <w:rPr>
          <w:rtl/>
        </w:rPr>
        <w:t xml:space="preserve"> </w:t>
      </w:r>
      <w:r>
        <w:rPr>
          <w:rFonts w:hint="eastAsia"/>
          <w:rtl/>
        </w:rPr>
        <w:t>את</w:t>
      </w:r>
      <w:r>
        <w:rPr>
          <w:rtl/>
        </w:rPr>
        <w:t xml:space="preserve"> </w:t>
      </w:r>
      <w:r>
        <w:rPr>
          <w:rFonts w:hint="eastAsia"/>
          <w:rtl/>
        </w:rPr>
        <w:t>הדין</w:t>
      </w:r>
      <w:r>
        <w:rPr>
          <w:rtl/>
        </w:rPr>
        <w:t xml:space="preserve"> </w:t>
      </w:r>
      <w:r>
        <w:rPr>
          <w:rFonts w:hint="eastAsia"/>
          <w:rtl/>
        </w:rPr>
        <w:t>בשעה</w:t>
      </w:r>
      <w:r>
        <w:rPr>
          <w:rtl/>
        </w:rPr>
        <w:t xml:space="preserve"> </w:t>
      </w:r>
      <w:r>
        <w:rPr>
          <w:rFonts w:hint="eastAsia"/>
          <w:rtl/>
        </w:rPr>
        <w:t>שהיא</w:t>
      </w:r>
      <w:r>
        <w:rPr>
          <w:rtl/>
        </w:rPr>
        <w:t xml:space="preserve"> </w:t>
      </w:r>
      <w:r>
        <w:rPr>
          <w:rFonts w:hint="eastAsia"/>
          <w:rtl/>
        </w:rPr>
        <w:t>מבקשת</w:t>
      </w:r>
      <w:r>
        <w:rPr>
          <w:rtl/>
        </w:rPr>
        <w:t xml:space="preserve"> </w:t>
      </w:r>
      <w:r>
        <w:rPr>
          <w:rFonts w:hint="eastAsia"/>
          <w:rtl/>
        </w:rPr>
        <w:t>לעשות</w:t>
      </w:r>
      <w:r>
        <w:rPr>
          <w:rtl/>
        </w:rPr>
        <w:t xml:space="preserve"> </w:t>
      </w:r>
      <w:r>
        <w:rPr>
          <w:rFonts w:hint="eastAsia"/>
          <w:rtl/>
        </w:rPr>
        <w:t>כן</w:t>
      </w:r>
      <w:r>
        <w:rPr>
          <w:rtl/>
        </w:rPr>
        <w:t>.</w:t>
      </w:r>
      <w:r>
        <w:rPr>
          <w:rFonts w:hint="cs"/>
          <w:rtl/>
        </w:rPr>
        <w:t xml:space="preserve"> </w:t>
      </w:r>
      <w:r>
        <w:rPr>
          <w:rFonts w:hint="eastAsia"/>
          <w:rtl/>
        </w:rPr>
        <w:t>מסקנה</w:t>
      </w:r>
      <w:r>
        <w:rPr>
          <w:rtl/>
        </w:rPr>
        <w:t xml:space="preserve"> </w:t>
      </w:r>
      <w:r>
        <w:rPr>
          <w:rFonts w:hint="eastAsia"/>
          <w:rtl/>
        </w:rPr>
        <w:t>זו</w:t>
      </w:r>
      <w:r>
        <w:rPr>
          <w:rtl/>
        </w:rPr>
        <w:t xml:space="preserve"> </w:t>
      </w:r>
      <w:r>
        <w:rPr>
          <w:rFonts w:hint="eastAsia"/>
          <w:rtl/>
        </w:rPr>
        <w:t>אינה</w:t>
      </w:r>
      <w:r>
        <w:rPr>
          <w:rtl/>
        </w:rPr>
        <w:t xml:space="preserve"> </w:t>
      </w:r>
      <w:r>
        <w:rPr>
          <w:rFonts w:hint="eastAsia"/>
          <w:rtl/>
        </w:rPr>
        <w:t>סופו</w:t>
      </w:r>
      <w:r>
        <w:rPr>
          <w:rtl/>
        </w:rPr>
        <w:t xml:space="preserve"> </w:t>
      </w:r>
      <w:r>
        <w:rPr>
          <w:rFonts w:hint="eastAsia"/>
          <w:rtl/>
        </w:rPr>
        <w:t>של</w:t>
      </w:r>
      <w:r>
        <w:rPr>
          <w:rtl/>
        </w:rPr>
        <w:t xml:space="preserve"> </w:t>
      </w:r>
      <w:r>
        <w:rPr>
          <w:rFonts w:hint="eastAsia"/>
          <w:rtl/>
        </w:rPr>
        <w:t>התהליך</w:t>
      </w:r>
      <w:r>
        <w:rPr>
          <w:rtl/>
        </w:rPr>
        <w:t xml:space="preserve">. </w:t>
      </w:r>
      <w:r>
        <w:rPr>
          <w:rFonts w:hint="eastAsia"/>
          <w:rtl/>
        </w:rPr>
        <w:t>המדינה</w:t>
      </w:r>
      <w:r>
        <w:rPr>
          <w:rtl/>
        </w:rPr>
        <w:t xml:space="preserve"> </w:t>
      </w:r>
      <w:r>
        <w:rPr>
          <w:rFonts w:hint="eastAsia"/>
          <w:rtl/>
        </w:rPr>
        <w:t>הצהירה</w:t>
      </w:r>
      <w:r>
        <w:rPr>
          <w:rtl/>
        </w:rPr>
        <w:t xml:space="preserve"> </w:t>
      </w:r>
      <w:r>
        <w:rPr>
          <w:rFonts w:hint="eastAsia"/>
          <w:rtl/>
        </w:rPr>
        <w:t>לפנינו</w:t>
      </w:r>
      <w:r>
        <w:rPr>
          <w:rtl/>
        </w:rPr>
        <w:t xml:space="preserve"> </w:t>
      </w:r>
      <w:r>
        <w:rPr>
          <w:rFonts w:hint="eastAsia"/>
          <w:rtl/>
        </w:rPr>
        <w:t>על</w:t>
      </w:r>
      <w:r>
        <w:rPr>
          <w:rtl/>
        </w:rPr>
        <w:t xml:space="preserve"> </w:t>
      </w:r>
      <w:r>
        <w:rPr>
          <w:rFonts w:hint="eastAsia"/>
          <w:rtl/>
        </w:rPr>
        <w:t>נכונותה</w:t>
      </w:r>
      <w:r>
        <w:rPr>
          <w:rtl/>
        </w:rPr>
        <w:t xml:space="preserve"> </w:t>
      </w:r>
      <w:r>
        <w:rPr>
          <w:rFonts w:hint="eastAsia"/>
          <w:rtl/>
        </w:rPr>
        <w:t>לקיים</w:t>
      </w:r>
      <w:r>
        <w:rPr>
          <w:rtl/>
        </w:rPr>
        <w:t xml:space="preserve"> </w:t>
      </w:r>
      <w:r>
        <w:rPr>
          <w:rFonts w:hint="eastAsia"/>
          <w:rtl/>
        </w:rPr>
        <w:t>דיאלוג</w:t>
      </w:r>
      <w:r>
        <w:rPr>
          <w:rtl/>
        </w:rPr>
        <w:t xml:space="preserve"> </w:t>
      </w:r>
      <w:r>
        <w:rPr>
          <w:rFonts w:hint="eastAsia"/>
          <w:rtl/>
        </w:rPr>
        <w:t>כּן</w:t>
      </w:r>
      <w:r>
        <w:rPr>
          <w:rtl/>
        </w:rPr>
        <w:t xml:space="preserve"> </w:t>
      </w:r>
      <w:r>
        <w:rPr>
          <w:rFonts w:hint="eastAsia"/>
          <w:rtl/>
        </w:rPr>
        <w:t>עם</w:t>
      </w:r>
      <w:r>
        <w:rPr>
          <w:rtl/>
        </w:rPr>
        <w:t xml:space="preserve"> </w:t>
      </w:r>
      <w:r>
        <w:rPr>
          <w:rFonts w:hint="eastAsia"/>
          <w:rtl/>
        </w:rPr>
        <w:t>תושבי</w:t>
      </w:r>
      <w:r>
        <w:rPr>
          <w:rtl/>
        </w:rPr>
        <w:t xml:space="preserve"> </w:t>
      </w:r>
      <w:r>
        <w:rPr>
          <w:rFonts w:hint="eastAsia"/>
          <w:rtl/>
        </w:rPr>
        <w:t>המתחם</w:t>
      </w:r>
      <w:r>
        <w:rPr>
          <w:rtl/>
        </w:rPr>
        <w:t xml:space="preserve"> </w:t>
      </w:r>
      <w:r>
        <w:rPr>
          <w:rFonts w:hint="eastAsia"/>
          <w:rtl/>
        </w:rPr>
        <w:t>על</w:t>
      </w:r>
      <w:r>
        <w:rPr>
          <w:rtl/>
        </w:rPr>
        <w:t xml:space="preserve"> </w:t>
      </w:r>
      <w:r>
        <w:rPr>
          <w:rFonts w:hint="eastAsia"/>
          <w:rtl/>
        </w:rPr>
        <w:t>מנת</w:t>
      </w:r>
      <w:r>
        <w:rPr>
          <w:rtl/>
        </w:rPr>
        <w:t xml:space="preserve"> </w:t>
      </w:r>
      <w:r>
        <w:rPr>
          <w:rFonts w:hint="eastAsia"/>
          <w:rtl/>
        </w:rPr>
        <w:t>להסדיר</w:t>
      </w:r>
      <w:r>
        <w:rPr>
          <w:rtl/>
        </w:rPr>
        <w:t xml:space="preserve"> </w:t>
      </w:r>
      <w:r>
        <w:rPr>
          <w:rFonts w:hint="eastAsia"/>
          <w:rtl/>
        </w:rPr>
        <w:t>באופן</w:t>
      </w:r>
      <w:r>
        <w:rPr>
          <w:rtl/>
        </w:rPr>
        <w:t xml:space="preserve"> </w:t>
      </w:r>
      <w:r>
        <w:rPr>
          <w:rFonts w:hint="eastAsia"/>
          <w:rtl/>
        </w:rPr>
        <w:t>מעשי</w:t>
      </w:r>
      <w:r>
        <w:rPr>
          <w:rtl/>
        </w:rPr>
        <w:t xml:space="preserve"> </w:t>
      </w:r>
      <w:r>
        <w:rPr>
          <w:rFonts w:hint="eastAsia"/>
          <w:rtl/>
        </w:rPr>
        <w:t>את</w:t>
      </w:r>
      <w:r>
        <w:rPr>
          <w:rtl/>
        </w:rPr>
        <w:t xml:space="preserve"> </w:t>
      </w:r>
      <w:r>
        <w:rPr>
          <w:rFonts w:hint="eastAsia"/>
          <w:rtl/>
        </w:rPr>
        <w:t>הפינוי</w:t>
      </w:r>
      <w:r>
        <w:rPr>
          <w:rtl/>
        </w:rPr>
        <w:t xml:space="preserve"> </w:t>
      </w:r>
      <w:r>
        <w:rPr>
          <w:rFonts w:hint="eastAsia"/>
          <w:rtl/>
        </w:rPr>
        <w:t>ואת</w:t>
      </w:r>
      <w:r>
        <w:rPr>
          <w:rtl/>
        </w:rPr>
        <w:t xml:space="preserve"> </w:t>
      </w:r>
      <w:r>
        <w:rPr>
          <w:rFonts w:hint="eastAsia"/>
          <w:rtl/>
        </w:rPr>
        <w:t>העתקתם</w:t>
      </w:r>
      <w:r>
        <w:rPr>
          <w:rtl/>
        </w:rPr>
        <w:t xml:space="preserve"> </w:t>
      </w:r>
      <w:proofErr w:type="spellStart"/>
      <w:r>
        <w:rPr>
          <w:rFonts w:hint="eastAsia"/>
          <w:rtl/>
        </w:rPr>
        <w:t>לג</w:t>
      </w:r>
      <w:r>
        <w:rPr>
          <w:rtl/>
        </w:rPr>
        <w:t>'</w:t>
      </w:r>
      <w:r>
        <w:rPr>
          <w:rFonts w:hint="eastAsia"/>
          <w:rtl/>
        </w:rPr>
        <w:t>הלין</w:t>
      </w:r>
      <w:proofErr w:type="spellEnd"/>
      <w:r>
        <w:rPr>
          <w:rtl/>
        </w:rPr>
        <w:t xml:space="preserve"> </w:t>
      </w:r>
      <w:r>
        <w:rPr>
          <w:rFonts w:hint="eastAsia"/>
          <w:rtl/>
        </w:rPr>
        <w:t>מערב</w:t>
      </w:r>
      <w:r>
        <w:rPr>
          <w:rtl/>
        </w:rPr>
        <w:t xml:space="preserve">. </w:t>
      </w:r>
      <w:r>
        <w:rPr>
          <w:rFonts w:hint="eastAsia"/>
          <w:rtl/>
        </w:rPr>
        <w:t>יש</w:t>
      </w:r>
      <w:r>
        <w:rPr>
          <w:rtl/>
        </w:rPr>
        <w:t xml:space="preserve"> </w:t>
      </w:r>
      <w:r>
        <w:rPr>
          <w:rFonts w:hint="eastAsia"/>
          <w:rtl/>
        </w:rPr>
        <w:t>לקוות</w:t>
      </w:r>
      <w:r>
        <w:rPr>
          <w:rtl/>
        </w:rPr>
        <w:t xml:space="preserve"> </w:t>
      </w:r>
      <w:r>
        <w:rPr>
          <w:rFonts w:hint="eastAsia"/>
          <w:rtl/>
        </w:rPr>
        <w:t>כי</w:t>
      </w:r>
      <w:r>
        <w:rPr>
          <w:rtl/>
        </w:rPr>
        <w:t xml:space="preserve"> </w:t>
      </w:r>
      <w:r>
        <w:rPr>
          <w:rFonts w:hint="eastAsia"/>
          <w:rtl/>
        </w:rPr>
        <w:t>כך</w:t>
      </w:r>
      <w:r>
        <w:rPr>
          <w:rtl/>
        </w:rPr>
        <w:t xml:space="preserve"> </w:t>
      </w:r>
      <w:r>
        <w:rPr>
          <w:rFonts w:hint="eastAsia"/>
          <w:rtl/>
        </w:rPr>
        <w:t>יֵעשה</w:t>
      </w:r>
      <w:r>
        <w:rPr>
          <w:rtl/>
        </w:rPr>
        <w:t xml:space="preserve">. </w:t>
      </w:r>
      <w:r>
        <w:rPr>
          <w:rFonts w:hint="eastAsia"/>
          <w:rtl/>
        </w:rPr>
        <w:t>ניתן</w:t>
      </w:r>
      <w:r>
        <w:rPr>
          <w:rtl/>
        </w:rPr>
        <w:t xml:space="preserve"> </w:t>
      </w:r>
      <w:r>
        <w:rPr>
          <w:rFonts w:hint="eastAsia"/>
          <w:rtl/>
        </w:rPr>
        <w:t>להגיע</w:t>
      </w:r>
      <w:r>
        <w:rPr>
          <w:rtl/>
        </w:rPr>
        <w:t xml:space="preserve"> </w:t>
      </w:r>
      <w:r>
        <w:rPr>
          <w:rFonts w:hint="eastAsia"/>
          <w:rtl/>
        </w:rPr>
        <w:t>לסוף</w:t>
      </w:r>
      <w:r>
        <w:rPr>
          <w:rtl/>
        </w:rPr>
        <w:t xml:space="preserve"> </w:t>
      </w:r>
      <w:r>
        <w:rPr>
          <w:rFonts w:hint="eastAsia"/>
          <w:rtl/>
        </w:rPr>
        <w:t>הדרך</w:t>
      </w:r>
      <w:r>
        <w:rPr>
          <w:rtl/>
        </w:rPr>
        <w:t xml:space="preserve"> </w:t>
      </w:r>
      <w:r>
        <w:rPr>
          <w:rFonts w:hint="eastAsia"/>
          <w:rtl/>
        </w:rPr>
        <w:t>בדרכי</w:t>
      </w:r>
      <w:r>
        <w:rPr>
          <w:rtl/>
        </w:rPr>
        <w:t xml:space="preserve"> </w:t>
      </w:r>
      <w:r>
        <w:rPr>
          <w:rFonts w:hint="eastAsia"/>
          <w:rtl/>
        </w:rPr>
        <w:t>שלום</w:t>
      </w:r>
      <w:r>
        <w:rPr>
          <w:rtl/>
        </w:rPr>
        <w:t xml:space="preserve"> </w:t>
      </w:r>
      <w:r>
        <w:rPr>
          <w:rFonts w:hint="eastAsia"/>
          <w:rtl/>
        </w:rPr>
        <w:t>ובהסכמה</w:t>
      </w:r>
      <w:r>
        <w:rPr>
          <w:rtl/>
        </w:rPr>
        <w:t xml:space="preserve">. </w:t>
      </w:r>
      <w:r>
        <w:rPr>
          <w:rFonts w:hint="eastAsia"/>
          <w:rtl/>
        </w:rPr>
        <w:t>המסקנה</w:t>
      </w:r>
      <w:r>
        <w:rPr>
          <w:rtl/>
        </w:rPr>
        <w:t xml:space="preserve"> </w:t>
      </w:r>
      <w:r>
        <w:rPr>
          <w:rFonts w:hint="eastAsia"/>
          <w:rtl/>
        </w:rPr>
        <w:t>היא</w:t>
      </w:r>
      <w:r>
        <w:rPr>
          <w:rtl/>
        </w:rPr>
        <w:t xml:space="preserve"> </w:t>
      </w:r>
      <w:r>
        <w:rPr>
          <w:rFonts w:hint="eastAsia"/>
          <w:rtl/>
        </w:rPr>
        <w:t>אפוא</w:t>
      </w:r>
      <w:r>
        <w:rPr>
          <w:rtl/>
        </w:rPr>
        <w:t xml:space="preserve"> </w:t>
      </w:r>
      <w:r>
        <w:rPr>
          <w:rFonts w:hint="eastAsia"/>
          <w:rtl/>
        </w:rPr>
        <w:t>שדין</w:t>
      </w:r>
      <w:r>
        <w:rPr>
          <w:rtl/>
        </w:rPr>
        <w:t xml:space="preserve"> </w:t>
      </w:r>
      <w:r>
        <w:rPr>
          <w:rFonts w:hint="eastAsia"/>
          <w:rtl/>
        </w:rPr>
        <w:t>עתירת</w:t>
      </w:r>
      <w:r>
        <w:rPr>
          <w:rtl/>
        </w:rPr>
        <w:t xml:space="preserve"> </w:t>
      </w:r>
      <w:r>
        <w:rPr>
          <w:rFonts w:hint="eastAsia"/>
          <w:rtl/>
        </w:rPr>
        <w:t>כפר</w:t>
      </w:r>
      <w:r>
        <w:rPr>
          <w:rtl/>
        </w:rPr>
        <w:t xml:space="preserve"> </w:t>
      </w:r>
      <w:r>
        <w:rPr>
          <w:rFonts w:hint="eastAsia"/>
          <w:rtl/>
        </w:rPr>
        <w:t>אדומים</w:t>
      </w:r>
      <w:r>
        <w:rPr>
          <w:rtl/>
        </w:rPr>
        <w:t xml:space="preserve"> – </w:t>
      </w:r>
      <w:r>
        <w:rPr>
          <w:rFonts w:hint="eastAsia"/>
          <w:rtl/>
        </w:rPr>
        <w:t>להימחק</w:t>
      </w:r>
      <w:r>
        <w:rPr>
          <w:rtl/>
        </w:rPr>
        <w:t xml:space="preserve">; </w:t>
      </w:r>
      <w:r>
        <w:rPr>
          <w:rFonts w:hint="eastAsia"/>
          <w:rtl/>
        </w:rPr>
        <w:t>ודין</w:t>
      </w:r>
      <w:r>
        <w:rPr>
          <w:rtl/>
        </w:rPr>
        <w:t xml:space="preserve"> </w:t>
      </w:r>
      <w:r>
        <w:rPr>
          <w:rFonts w:hint="eastAsia"/>
          <w:rtl/>
        </w:rPr>
        <w:t>שתי</w:t>
      </w:r>
      <w:r>
        <w:rPr>
          <w:rtl/>
        </w:rPr>
        <w:t xml:space="preserve"> </w:t>
      </w:r>
      <w:r>
        <w:rPr>
          <w:rFonts w:hint="eastAsia"/>
          <w:rtl/>
        </w:rPr>
        <w:t>העתירות</w:t>
      </w:r>
      <w:r>
        <w:rPr>
          <w:rtl/>
        </w:rPr>
        <w:t xml:space="preserve"> </w:t>
      </w:r>
      <w:r>
        <w:rPr>
          <w:rFonts w:hint="eastAsia"/>
          <w:rtl/>
        </w:rPr>
        <w:t>האחרות</w:t>
      </w:r>
      <w:r>
        <w:rPr>
          <w:rtl/>
        </w:rPr>
        <w:t xml:space="preserve"> – </w:t>
      </w:r>
      <w:r>
        <w:rPr>
          <w:rFonts w:hint="eastAsia"/>
          <w:rtl/>
        </w:rPr>
        <w:t>להידחות</w:t>
      </w:r>
      <w:r>
        <w:rPr>
          <w:rFonts w:hint="cs"/>
          <w:rtl/>
        </w:rPr>
        <w:t>" (ראו שם, בפסקאות 63-60).</w:t>
      </w:r>
    </w:p>
    <w:p w:rsidR="002413B5" w:rsidRPr="007B16FC" w:rsidRDefault="002413B5" w:rsidP="002413B5">
      <w:pPr>
        <w:pStyle w:val="Ruller40"/>
      </w:pPr>
    </w:p>
    <w:p w:rsidR="002413B5" w:rsidRDefault="002413B5" w:rsidP="002413B5">
      <w:pPr>
        <w:pStyle w:val="Ruller4"/>
      </w:pPr>
      <w:r>
        <w:rPr>
          <w:rFonts w:hint="cs"/>
          <w:rtl/>
        </w:rPr>
        <w:t xml:space="preserve">בחמש השנים שחלפו מאז ניתן פסק הדין </w:t>
      </w:r>
      <w:r w:rsidRPr="00B06FF3">
        <w:rPr>
          <w:rFonts w:ascii="Century" w:hAnsi="Century" w:cs="Miriam" w:hint="cs"/>
          <w:b/>
          <w:spacing w:val="0"/>
          <w:sz w:val="22"/>
          <w:szCs w:val="24"/>
          <w:rtl/>
        </w:rPr>
        <w:t>בבג"ץ כפר אדומים</w:t>
      </w:r>
      <w:r>
        <w:rPr>
          <w:rFonts w:hint="cs"/>
          <w:rtl/>
        </w:rPr>
        <w:t xml:space="preserve"> דבר לא התחדש. המבנים הלא חוקיים עומדים על תילם, וחוקי התכנון והבניה מופרים בריש גלי.</w:t>
      </w:r>
    </w:p>
    <w:p w:rsidR="002413B5" w:rsidRDefault="002413B5" w:rsidP="002413B5">
      <w:pPr>
        <w:pStyle w:val="Ruller4"/>
        <w:numPr>
          <w:ilvl w:val="0"/>
          <w:numId w:val="0"/>
        </w:numPr>
      </w:pPr>
    </w:p>
    <w:p w:rsidR="002413B5" w:rsidRDefault="002413B5" w:rsidP="002413B5">
      <w:pPr>
        <w:pStyle w:val="Ruller4"/>
      </w:pPr>
      <w:r>
        <w:rPr>
          <w:rFonts w:hint="cs"/>
          <w:rtl/>
        </w:rPr>
        <w:t>בשנים שחלפו מאז הגשת העתירה הנוכחית, נתבקשנו על ידי משיבי המדינה לדחות מועדי דיונים ולהשהות את החלטתנו בנוגע להוצאת צו-על-תנאי מפאת אילוצים שונים. אילוצים אלה כללו את קשיי האכיפה שהיו קיימים בשטח, את מדיניות החוץ והביטחון עליה מופקדים המשיבים 1 ו-2, ראש ממשלת ישראל ושר הביטחון, וכן את ניסיון הרשויות להגיע להסכמות כאלה או אחרות עם דיירי המאחז, אשר לא נחל הצלחה. כמו כן כללו האילוצים את ח</w:t>
      </w:r>
      <w:r w:rsidR="00E52763">
        <w:rPr>
          <w:rFonts w:hint="cs"/>
          <w:rtl/>
        </w:rPr>
        <w:t>י</w:t>
      </w:r>
      <w:r>
        <w:rPr>
          <w:rFonts w:hint="cs"/>
          <w:rtl/>
        </w:rPr>
        <w:t xml:space="preserve">לופי השלטון התכופים שפקדו אותנו בשנים האחרונות. למרות האילוצים כאמור, הבהרנו למשיבי המדינה כי "עיקרון החוקיות, שאותו אנו מצווים ליישם ולהעצים, אינו מאפשר למדינה 'לשבת על הגדר' במשך שנים ארוכות ולהביט ממנה על מבנים בלתי חוקיים מבלי להכריע באופן מחייב בין הסדרתם להריסתם" (ראו דבריי בהחלטה שניתנה בגדרי העתירה הנוכחית ביום 29.9.2021).  </w:t>
      </w:r>
    </w:p>
    <w:p w:rsidR="002413B5" w:rsidRDefault="002413B5" w:rsidP="002413B5">
      <w:pPr>
        <w:pStyle w:val="Ruller4"/>
        <w:numPr>
          <w:ilvl w:val="0"/>
          <w:numId w:val="0"/>
        </w:numPr>
      </w:pPr>
    </w:p>
    <w:p w:rsidR="002413B5" w:rsidRDefault="002413B5" w:rsidP="002413B5">
      <w:pPr>
        <w:pStyle w:val="Ruller4"/>
      </w:pPr>
      <w:r>
        <w:rPr>
          <w:rFonts w:hint="cs"/>
          <w:rtl/>
        </w:rPr>
        <w:t xml:space="preserve">הצו על-תנאי שהוצאנו נתן למשיבים 120 יום להשיב לעתירה ולנמק מדוע המבנים הלא חוקיים לא ייהרסו במועד קרוב. ביום 5.9.2022, ביקשונו משיבי המדינה להאריך את המועד להגשת תצהיר תשובה עד ליום 1.2.2023 </w:t>
      </w:r>
      <w:r>
        <w:rPr>
          <w:rtl/>
        </w:rPr>
        <w:t>–</w:t>
      </w:r>
      <w:r>
        <w:rPr>
          <w:rFonts w:hint="cs"/>
          <w:rtl/>
        </w:rPr>
        <w:t xml:space="preserve"> זאת, לנוכח רגישות הסוגיה שעומדת על הפרק, בהתחשב בחילופי השלטון, וכן "על מנת שיתאפשר לדרג </w:t>
      </w:r>
      <w:r>
        <w:rPr>
          <w:rFonts w:hint="cs"/>
          <w:rtl/>
        </w:rPr>
        <w:lastRenderedPageBreak/>
        <w:t xml:space="preserve">המדיני שייכנס לתפקידו לאחר כינון הממשלה החדשה להביא את עמדתו". לבקשה זו נענינו, חרף התנגדות העותרת, בהחלטתנו מיום 3.10.2022, בה קבענו כי תצהיר התשובה יוגש עד ליום 1.2.2023, קרי: שלושה חודשים מיום הבחירות. </w:t>
      </w:r>
    </w:p>
    <w:p w:rsidR="002413B5" w:rsidRDefault="002413B5" w:rsidP="002413B5">
      <w:pPr>
        <w:pStyle w:val="Ruller4"/>
        <w:numPr>
          <w:ilvl w:val="0"/>
          <w:numId w:val="0"/>
        </w:numPr>
      </w:pPr>
    </w:p>
    <w:p w:rsidR="002413B5" w:rsidRDefault="002413B5" w:rsidP="002413B5">
      <w:pPr>
        <w:pStyle w:val="Ruller4"/>
      </w:pPr>
      <w:r>
        <w:rPr>
          <w:rFonts w:hint="cs"/>
          <w:rtl/>
        </w:rPr>
        <w:t xml:space="preserve">כמו כן נענינו לבקשת ארכה נוספת אשר הוגשה על ידי משיבי המדינה ביום 1.2.2023. בקשה זו נסמכה על אותם טעמים שכבר הושמעו בבקשותיהם הקודמות של משיבי המדינה, כאשר היא מוסיפה ומבהירה כי "היועץ לביטחון לאומי וראש </w:t>
      </w:r>
      <w:proofErr w:type="spellStart"/>
      <w:r>
        <w:rPr>
          <w:rFonts w:hint="cs"/>
          <w:rtl/>
        </w:rPr>
        <w:t>המל"ל</w:t>
      </w:r>
      <w:proofErr w:type="spellEnd"/>
      <w:r>
        <w:rPr>
          <w:rFonts w:hint="cs"/>
          <w:rtl/>
        </w:rPr>
        <w:t xml:space="preserve">, שנכנס לתפקידו ביום 8.1.2023, נדרש לנושא [...] באריכות, וזאת במטרה לקדם במהירות האפשרית עבודת מטה יסודית שתוצריה יוצגו בפני הדרג המדיני לצורך קבלת החלטתו באשר למענה שיש </w:t>
      </w:r>
      <w:proofErr w:type="spellStart"/>
      <w:r>
        <w:rPr>
          <w:rFonts w:hint="cs"/>
          <w:rtl/>
        </w:rPr>
        <w:t>ליתן</w:t>
      </w:r>
      <w:proofErr w:type="spellEnd"/>
      <w:r>
        <w:rPr>
          <w:rFonts w:hint="cs"/>
          <w:rtl/>
        </w:rPr>
        <w:t xml:space="preserve"> לצו-על-תנאי". הפעם נתבקשנו להאריך את המועד להגשת תצהיר התשובה עד ליום 1.6.2023 </w:t>
      </w:r>
      <w:r>
        <w:rPr>
          <w:rtl/>
        </w:rPr>
        <w:t>–</w:t>
      </w:r>
      <w:r>
        <w:rPr>
          <w:rFonts w:hint="cs"/>
          <w:rtl/>
        </w:rPr>
        <w:t xml:space="preserve"> כמקודם, "בלי נדר". לבקשה זו נענינו ביום 7.2.2023 באופן חלקי, תוך הבעת מורת רוחנו מכך שטרם ניתנה תשובת המדינה לצו על-תנאי שניתן לפני קרוב לשנה. לאור זאת, ואחרי שנוכחנו לדעת כי סאגת הדחיות והעיכובים התמלאה עד אפס-מקום, חייבנו באופן חריג את משיבי המדינה לשלם לעותרת הוצאות משפט בסך של 20,000 ש"ח. </w:t>
      </w:r>
    </w:p>
    <w:p w:rsidR="002413B5" w:rsidRDefault="002413B5" w:rsidP="002413B5">
      <w:pPr>
        <w:pStyle w:val="Ruller4"/>
        <w:numPr>
          <w:ilvl w:val="0"/>
          <w:numId w:val="0"/>
        </w:numPr>
      </w:pPr>
    </w:p>
    <w:p w:rsidR="002413B5" w:rsidRDefault="002413B5" w:rsidP="0087402B">
      <w:pPr>
        <w:pStyle w:val="Ruller4"/>
      </w:pPr>
      <w:r>
        <w:rPr>
          <w:rFonts w:hint="cs"/>
          <w:rtl/>
        </w:rPr>
        <w:t xml:space="preserve">בדיון שהתקיים לפנינו ביום 1.5.2023, חלה תפנית. משיבי המדינה טענו כי עמדתם העדכנית בנוגע לפינוי המאחז והריסתו נטועה בעובדות שחל עליהן חיסיון מטעמי ביטחון המדינה ויחסי החוץ שלה, אשר מעוגן בסעיף 44 לפקודת הראיות [נוסח חדש], התשל"א-1971. טענה זו נתמכה בתעודת חיסיון החתומה בידי ראש הממשלה, שאף היא הונחה על שולחננו. העותרת ומשיבי המדינה הסכימו כי נעיין בחומר החסוי ונציג שאלות הבהרה בנוגע אליו לגורמי הביטחון, ובראשם ראש המועצה לביטחון לאומי, מר צחי הנגבי, שהגיע לדיון. דיירי המאחז, המשיבים </w:t>
      </w:r>
      <w:r w:rsidR="000F2606">
        <w:rPr>
          <w:rFonts w:hint="cs"/>
          <w:rtl/>
        </w:rPr>
        <w:t>44-</w:t>
      </w:r>
      <w:r>
        <w:rPr>
          <w:rFonts w:hint="cs"/>
          <w:rtl/>
        </w:rPr>
        <w:t>5, התנגדו לעיון ולדיון בחומר החסוי במעמד צד אחד, אולם להתנגדות זו לא היה מקום מאחר שלמשיבים בעתירה לבג"ץ אין עניין זולת דחייתה של העתירה, כפי שהוגשה, כל אימת שאין בנימוקי הדחייה כדי לגרוע מזכויותיהם. לפיכך, החל</w:t>
      </w:r>
      <w:r w:rsidR="0087402B">
        <w:rPr>
          <w:rFonts w:hint="cs"/>
          <w:rtl/>
        </w:rPr>
        <w:t>ט</w:t>
      </w:r>
      <w:r>
        <w:rPr>
          <w:rFonts w:hint="cs"/>
          <w:rtl/>
        </w:rPr>
        <w:t xml:space="preserve">נו לעיין בחומר החסוי ולדון בו במעמד צד אחד כל אימת שהדבר אינו מוביל לפגיעה בזכויות המשיבים </w:t>
      </w:r>
      <w:r w:rsidR="000F2606">
        <w:rPr>
          <w:rFonts w:hint="cs"/>
          <w:rtl/>
        </w:rPr>
        <w:t>44-</w:t>
      </w:r>
      <w:r>
        <w:rPr>
          <w:rFonts w:hint="cs"/>
          <w:rtl/>
        </w:rPr>
        <w:t xml:space="preserve">5. </w:t>
      </w:r>
    </w:p>
    <w:p w:rsidR="002413B5" w:rsidRDefault="002413B5" w:rsidP="002413B5">
      <w:pPr>
        <w:pStyle w:val="Ruller4"/>
        <w:numPr>
          <w:ilvl w:val="0"/>
          <w:numId w:val="0"/>
        </w:numPr>
      </w:pPr>
    </w:p>
    <w:p w:rsidR="002413B5" w:rsidRDefault="002413B5" w:rsidP="002413B5">
      <w:pPr>
        <w:pStyle w:val="Ruller4"/>
        <w:rPr>
          <w:rtl/>
        </w:rPr>
      </w:pPr>
      <w:r>
        <w:rPr>
          <w:rFonts w:hint="cs"/>
          <w:rtl/>
        </w:rPr>
        <w:t xml:space="preserve">עיון ודיון בחומר החסוי העלה כי קיימים טעמים עדכניים של ממש אשר תומכים בעמדתם העכשווית של משיבי המדינה שלא לפנות ולא להרוס את המאחז בעת הזאת </w:t>
      </w:r>
      <w:r>
        <w:rPr>
          <w:rtl/>
        </w:rPr>
        <w:t>–</w:t>
      </w:r>
      <w:r>
        <w:rPr>
          <w:rFonts w:hint="cs"/>
          <w:rtl/>
        </w:rPr>
        <w:t xml:space="preserve"> תוך מתן הבהרה והדגשה חוזרת כי מדובר במאחז בר-הריסה שכל-כולו הוקם בניגוד לחוק. טעמים אלה לא נוכל לפרט בעטיו של החיסיון. נציין כי אחרי שקראנו את מה שקראנו, ושאלנו את מה ששאלנו, נחה דעתנו כי טעמים אלה, בלי יוצא מן הכלל, קשורים </w:t>
      </w:r>
      <w:r>
        <w:rPr>
          <w:rFonts w:hint="cs"/>
          <w:rtl/>
        </w:rPr>
        <w:lastRenderedPageBreak/>
        <w:t>לענייני ביטחון ויחסי החוץ של המדינה וכי יש בהם כדי להצדיק את עמדתם הנוכחית של משיבי המדינה בנוגע למאחז.</w:t>
      </w:r>
    </w:p>
    <w:p w:rsidR="002413B5" w:rsidRDefault="002413B5" w:rsidP="002413B5">
      <w:pPr>
        <w:pStyle w:val="Ruller4"/>
        <w:numPr>
          <w:ilvl w:val="0"/>
          <w:numId w:val="0"/>
        </w:numPr>
      </w:pPr>
    </w:p>
    <w:p w:rsidR="002413B5" w:rsidRPr="004A6B65" w:rsidRDefault="002413B5" w:rsidP="002413B5">
      <w:pPr>
        <w:pStyle w:val="Ruller4"/>
      </w:pPr>
      <w:r w:rsidRPr="006C3B6E">
        <w:rPr>
          <w:rFonts w:ascii="FrankRuehl" w:hAnsi="FrankRuehl"/>
          <w:color w:val="000000"/>
          <w:sz w:val="28"/>
          <w:shd w:val="clear" w:color="auto" w:fill="FFFFFF"/>
          <w:rtl/>
        </w:rPr>
        <w:t xml:space="preserve">הלכה היא </w:t>
      </w:r>
      <w:r>
        <w:rPr>
          <w:rFonts w:ascii="FrankRuehl" w:hAnsi="FrankRuehl" w:hint="cs"/>
          <w:color w:val="000000"/>
          <w:sz w:val="28"/>
          <w:shd w:val="clear" w:color="auto" w:fill="FFFFFF"/>
          <w:rtl/>
        </w:rPr>
        <w:t xml:space="preserve">עמנו </w:t>
      </w:r>
      <w:r w:rsidRPr="006C3B6E">
        <w:rPr>
          <w:rFonts w:ascii="FrankRuehl" w:hAnsi="FrankRuehl"/>
          <w:color w:val="000000"/>
          <w:sz w:val="28"/>
          <w:shd w:val="clear" w:color="auto" w:fill="FFFFFF"/>
          <w:rtl/>
        </w:rPr>
        <w:t>כי בית המשפט לא יתערב על נקלה בשיקול דעתה של הרשות המוסמכת באשר </w:t>
      </w:r>
      <w:r w:rsidRPr="006C3B6E">
        <w:rPr>
          <w:rFonts w:ascii="FrankRuehl" w:hAnsi="FrankRuehl" w:hint="eastAsia"/>
          <w:color w:val="000000"/>
          <w:sz w:val="28"/>
          <w:shd w:val="clear" w:color="auto" w:fill="FFFFFF"/>
          <w:rtl/>
        </w:rPr>
        <w:t>לסדרי</w:t>
      </w:r>
      <w:r w:rsidRPr="006C3B6E">
        <w:rPr>
          <w:rFonts w:ascii="FrankRuehl" w:hAnsi="FrankRuehl"/>
          <w:color w:val="000000"/>
          <w:sz w:val="28"/>
          <w:shd w:val="clear" w:color="auto" w:fill="FFFFFF"/>
          <w:rtl/>
        </w:rPr>
        <w:t xml:space="preserve"> </w:t>
      </w:r>
      <w:r w:rsidRPr="006C3B6E">
        <w:rPr>
          <w:rFonts w:ascii="FrankRuehl" w:hAnsi="FrankRuehl" w:hint="eastAsia"/>
          <w:color w:val="000000"/>
          <w:sz w:val="28"/>
          <w:shd w:val="clear" w:color="auto" w:fill="FFFFFF"/>
          <w:rtl/>
        </w:rPr>
        <w:t>העדיפות</w:t>
      </w:r>
      <w:r w:rsidRPr="006C3B6E">
        <w:rPr>
          <w:rFonts w:ascii="FrankRuehl" w:hAnsi="FrankRuehl"/>
          <w:color w:val="000000"/>
          <w:sz w:val="28"/>
          <w:shd w:val="clear" w:color="auto" w:fill="FFFFFF"/>
          <w:rtl/>
        </w:rPr>
        <w:t xml:space="preserve"> </w:t>
      </w:r>
      <w:r w:rsidRPr="006C3B6E">
        <w:rPr>
          <w:rFonts w:ascii="FrankRuehl" w:hAnsi="FrankRuehl" w:hint="eastAsia"/>
          <w:color w:val="000000"/>
          <w:sz w:val="28"/>
          <w:shd w:val="clear" w:color="auto" w:fill="FFFFFF"/>
          <w:rtl/>
        </w:rPr>
        <w:t>שהיא</w:t>
      </w:r>
      <w:r w:rsidRPr="006C3B6E">
        <w:rPr>
          <w:rFonts w:ascii="FrankRuehl" w:hAnsi="FrankRuehl"/>
          <w:color w:val="000000"/>
          <w:sz w:val="28"/>
          <w:shd w:val="clear" w:color="auto" w:fill="FFFFFF"/>
          <w:rtl/>
        </w:rPr>
        <w:t xml:space="preserve"> </w:t>
      </w:r>
      <w:r w:rsidRPr="006C3B6E">
        <w:rPr>
          <w:rFonts w:ascii="FrankRuehl" w:hAnsi="FrankRuehl" w:hint="eastAsia"/>
          <w:color w:val="000000"/>
          <w:sz w:val="28"/>
          <w:shd w:val="clear" w:color="auto" w:fill="FFFFFF"/>
          <w:rtl/>
        </w:rPr>
        <w:t>קובעת</w:t>
      </w:r>
      <w:r w:rsidRPr="006C3B6E">
        <w:rPr>
          <w:rFonts w:ascii="FrankRuehl" w:hAnsi="FrankRuehl"/>
          <w:color w:val="000000"/>
          <w:sz w:val="28"/>
          <w:shd w:val="clear" w:color="auto" w:fill="FFFFFF"/>
          <w:rtl/>
        </w:rPr>
        <w:t xml:space="preserve"> לעצמה באכיפת החוק</w:t>
      </w:r>
      <w:r w:rsidRPr="006C3B6E">
        <w:rPr>
          <w:rFonts w:ascii="FrankRuehl" w:hAnsi="FrankRuehl" w:hint="cs"/>
          <w:color w:val="000000"/>
          <w:sz w:val="28"/>
          <w:shd w:val="clear" w:color="auto" w:fill="FFFFFF"/>
          <w:rtl/>
        </w:rPr>
        <w:t xml:space="preserve"> (ראו, מני רבים: </w:t>
      </w:r>
      <w:r w:rsidRPr="006C3B6E">
        <w:rPr>
          <w:rFonts w:ascii="FrankRuehl" w:hAnsi="FrankRuehl" w:hint="eastAsia"/>
          <w:color w:val="000000"/>
          <w:sz w:val="28"/>
          <w:shd w:val="clear" w:color="auto" w:fill="FFFFFF"/>
          <w:rtl/>
        </w:rPr>
        <w:t>בג</w:t>
      </w:r>
      <w:r w:rsidRPr="006C3B6E">
        <w:rPr>
          <w:rFonts w:ascii="FrankRuehl" w:hAnsi="FrankRuehl"/>
          <w:color w:val="000000"/>
          <w:sz w:val="28"/>
          <w:shd w:val="clear" w:color="auto" w:fill="FFFFFF"/>
          <w:rtl/>
        </w:rPr>
        <w:t>"</w:t>
      </w:r>
      <w:r w:rsidRPr="006C3B6E">
        <w:rPr>
          <w:rFonts w:ascii="FrankRuehl" w:hAnsi="FrankRuehl" w:hint="eastAsia"/>
          <w:color w:val="000000"/>
          <w:sz w:val="28"/>
          <w:shd w:val="clear" w:color="auto" w:fill="FFFFFF"/>
          <w:rtl/>
        </w:rPr>
        <w:t>ץ</w:t>
      </w:r>
      <w:r w:rsidRPr="006C3B6E">
        <w:rPr>
          <w:rFonts w:ascii="FrankRuehl" w:hAnsi="FrankRuehl"/>
          <w:color w:val="000000"/>
          <w:sz w:val="28"/>
          <w:shd w:val="clear" w:color="auto" w:fill="FFFFFF"/>
          <w:rtl/>
        </w:rPr>
        <w:t xml:space="preserve"> 3402/09 </w:t>
      </w:r>
      <w:proofErr w:type="spellStart"/>
      <w:r w:rsidRPr="006C3B6E">
        <w:rPr>
          <w:rFonts w:ascii="Century" w:hAnsi="Century" w:cs="Miriam" w:hint="eastAsia"/>
          <w:b/>
          <w:spacing w:val="0"/>
          <w:sz w:val="22"/>
          <w:szCs w:val="24"/>
          <w:shd w:val="clear" w:color="auto" w:fill="FFFFFF"/>
          <w:rtl/>
        </w:rPr>
        <w:t>אלח</w:t>
      </w:r>
      <w:r w:rsidRPr="006C3B6E">
        <w:rPr>
          <w:rFonts w:ascii="Century" w:hAnsi="Century" w:cs="Miriam"/>
          <w:b/>
          <w:spacing w:val="0"/>
          <w:sz w:val="22"/>
          <w:szCs w:val="24"/>
          <w:shd w:val="clear" w:color="auto" w:fill="FFFFFF"/>
          <w:rtl/>
        </w:rPr>
        <w:t>'</w:t>
      </w:r>
      <w:r w:rsidRPr="006C3B6E">
        <w:rPr>
          <w:rFonts w:ascii="Century" w:hAnsi="Century" w:cs="Miriam" w:hint="eastAsia"/>
          <w:b/>
          <w:spacing w:val="0"/>
          <w:sz w:val="22"/>
          <w:szCs w:val="24"/>
          <w:shd w:val="clear" w:color="auto" w:fill="FFFFFF"/>
          <w:rtl/>
        </w:rPr>
        <w:t>ואג</w:t>
      </w:r>
      <w:r w:rsidRPr="006C3B6E">
        <w:rPr>
          <w:rFonts w:ascii="Century" w:hAnsi="Century" w:cs="Miriam"/>
          <w:b/>
          <w:spacing w:val="0"/>
          <w:sz w:val="22"/>
          <w:szCs w:val="24"/>
          <w:shd w:val="clear" w:color="auto" w:fill="FFFFFF"/>
          <w:rtl/>
        </w:rPr>
        <w:t>'</w:t>
      </w:r>
      <w:r w:rsidRPr="006C3B6E">
        <w:rPr>
          <w:rFonts w:ascii="Century" w:hAnsi="Century" w:cs="Miriam" w:hint="eastAsia"/>
          <w:b/>
          <w:spacing w:val="0"/>
          <w:sz w:val="22"/>
          <w:szCs w:val="24"/>
          <w:shd w:val="clear" w:color="auto" w:fill="FFFFFF"/>
          <w:rtl/>
        </w:rPr>
        <w:t>א</w:t>
      </w:r>
      <w:proofErr w:type="spellEnd"/>
      <w:r w:rsidRPr="006C3B6E">
        <w:rPr>
          <w:rFonts w:ascii="Century" w:hAnsi="Century" w:cs="Miriam"/>
          <w:b/>
          <w:spacing w:val="0"/>
          <w:sz w:val="22"/>
          <w:szCs w:val="24"/>
          <w:shd w:val="clear" w:color="auto" w:fill="FFFFFF"/>
          <w:rtl/>
        </w:rPr>
        <w:t xml:space="preserve"> </w:t>
      </w:r>
      <w:r w:rsidRPr="006C3B6E">
        <w:rPr>
          <w:rFonts w:ascii="Century" w:hAnsi="Century" w:cs="Miriam" w:hint="eastAsia"/>
          <w:b/>
          <w:spacing w:val="0"/>
          <w:sz w:val="22"/>
          <w:szCs w:val="24"/>
          <w:shd w:val="clear" w:color="auto" w:fill="FFFFFF"/>
          <w:rtl/>
        </w:rPr>
        <w:t>נ</w:t>
      </w:r>
      <w:r w:rsidRPr="006C3B6E">
        <w:rPr>
          <w:rFonts w:ascii="Century" w:hAnsi="Century" w:cs="Miriam"/>
          <w:b/>
          <w:spacing w:val="0"/>
          <w:sz w:val="22"/>
          <w:szCs w:val="24"/>
          <w:shd w:val="clear" w:color="auto" w:fill="FFFFFF"/>
          <w:rtl/>
        </w:rPr>
        <w:t xml:space="preserve">' </w:t>
      </w:r>
      <w:r w:rsidRPr="006C3B6E">
        <w:rPr>
          <w:rFonts w:ascii="Century" w:hAnsi="Century" w:cs="Miriam" w:hint="eastAsia"/>
          <w:b/>
          <w:spacing w:val="0"/>
          <w:sz w:val="22"/>
          <w:szCs w:val="24"/>
          <w:shd w:val="clear" w:color="auto" w:fill="FFFFFF"/>
          <w:rtl/>
        </w:rPr>
        <w:t>שר</w:t>
      </w:r>
      <w:r w:rsidRPr="006C3B6E">
        <w:rPr>
          <w:rFonts w:ascii="Century" w:hAnsi="Century" w:cs="Miriam"/>
          <w:b/>
          <w:spacing w:val="0"/>
          <w:sz w:val="22"/>
          <w:szCs w:val="24"/>
          <w:shd w:val="clear" w:color="auto" w:fill="FFFFFF"/>
          <w:rtl/>
        </w:rPr>
        <w:t xml:space="preserve"> </w:t>
      </w:r>
      <w:r w:rsidRPr="006C3B6E">
        <w:rPr>
          <w:rFonts w:ascii="Century" w:hAnsi="Century" w:cs="Miriam" w:hint="eastAsia"/>
          <w:b/>
          <w:spacing w:val="0"/>
          <w:sz w:val="22"/>
          <w:szCs w:val="24"/>
          <w:shd w:val="clear" w:color="auto" w:fill="FFFFFF"/>
          <w:rtl/>
        </w:rPr>
        <w:t>הביטחון</w:t>
      </w:r>
      <w:r w:rsidRPr="006C3B6E">
        <w:rPr>
          <w:rFonts w:ascii="FrankRuehl" w:hAnsi="FrankRuehl" w:hint="cs"/>
          <w:color w:val="000000"/>
          <w:sz w:val="28"/>
          <w:shd w:val="clear" w:color="auto" w:fill="FFFFFF"/>
          <w:rtl/>
        </w:rPr>
        <w:t>, פסקה 3 והאסמכתאות שם</w:t>
      </w:r>
      <w:r w:rsidRPr="006C3B6E">
        <w:rPr>
          <w:rFonts w:ascii="FrankRuehl" w:hAnsi="FrankRuehl"/>
          <w:color w:val="000000"/>
          <w:sz w:val="28"/>
          <w:shd w:val="clear" w:color="auto" w:fill="FFFFFF"/>
          <w:rtl/>
        </w:rPr>
        <w:t xml:space="preserve"> (19.</w:t>
      </w:r>
      <w:r w:rsidRPr="006C3B6E">
        <w:rPr>
          <w:rFonts w:ascii="FrankRuehl" w:hAnsi="FrankRuehl" w:hint="cs"/>
          <w:color w:val="000000"/>
          <w:sz w:val="28"/>
          <w:shd w:val="clear" w:color="auto" w:fill="FFFFFF"/>
          <w:rtl/>
        </w:rPr>
        <w:t>1</w:t>
      </w:r>
      <w:r w:rsidRPr="006C3B6E">
        <w:rPr>
          <w:rFonts w:ascii="FrankRuehl" w:hAnsi="FrankRuehl"/>
          <w:color w:val="000000"/>
          <w:sz w:val="28"/>
          <w:shd w:val="clear" w:color="auto" w:fill="FFFFFF"/>
          <w:rtl/>
        </w:rPr>
        <w:t>.2012)</w:t>
      </w:r>
      <w:r>
        <w:rPr>
          <w:rFonts w:ascii="FrankRuehl" w:hAnsi="FrankRuehl" w:hint="cs"/>
          <w:color w:val="000000"/>
          <w:sz w:val="28"/>
          <w:shd w:val="clear" w:color="auto" w:fill="FFFFFF"/>
          <w:rtl/>
        </w:rPr>
        <w:t xml:space="preserve">); וכי </w:t>
      </w:r>
      <w:r w:rsidRPr="006C3B6E">
        <w:rPr>
          <w:rFonts w:ascii="FrankRuehl" w:hAnsi="FrankRuehl" w:hint="cs"/>
          <w:color w:val="000000"/>
          <w:sz w:val="28"/>
          <w:shd w:val="clear" w:color="auto" w:fill="FFFFFF"/>
          <w:rtl/>
        </w:rPr>
        <w:t>"</w:t>
      </w:r>
      <w:r w:rsidRPr="006C3B6E">
        <w:rPr>
          <w:rFonts w:ascii="FrankRuehl" w:hAnsi="FrankRuehl"/>
          <w:color w:val="000000"/>
          <w:sz w:val="28"/>
          <w:shd w:val="clear" w:color="auto" w:fill="FFFFFF"/>
          <w:rtl/>
        </w:rPr>
        <w:t xml:space="preserve">התערבות בסדרי העדיפות במדיניות אכיפה של רשות מוסמכת עשויה להתרחש מקום בו הוכחה התנערות מלאה </w:t>
      </w:r>
      <w:r w:rsidRPr="006C3B6E">
        <w:rPr>
          <w:rFonts w:ascii="FrankRuehl" w:hAnsi="FrankRuehl" w:hint="cs"/>
          <w:color w:val="000000"/>
          <w:sz w:val="28"/>
          <w:shd w:val="clear" w:color="auto" w:fill="FFFFFF"/>
          <w:rtl/>
        </w:rPr>
        <w:t>[...]</w:t>
      </w:r>
      <w:r w:rsidRPr="006C3B6E">
        <w:rPr>
          <w:rFonts w:ascii="FrankRuehl" w:hAnsi="FrankRuehl"/>
          <w:color w:val="000000"/>
          <w:sz w:val="28"/>
          <w:shd w:val="clear" w:color="auto" w:fill="FFFFFF"/>
          <w:rtl/>
        </w:rPr>
        <w:t xml:space="preserve"> מאכיפת החוק</w:t>
      </w:r>
      <w:r w:rsidRPr="006C3B6E">
        <w:rPr>
          <w:rFonts w:ascii="FrankRuehl" w:hAnsi="FrankRuehl" w:hint="cs"/>
          <w:color w:val="000000"/>
          <w:sz w:val="28"/>
          <w:shd w:val="clear" w:color="auto" w:fill="FFFFFF"/>
          <w:rtl/>
        </w:rPr>
        <w:t xml:space="preserve">" (ראו: </w:t>
      </w:r>
      <w:r w:rsidRPr="006C3B6E">
        <w:rPr>
          <w:rFonts w:ascii="FrankRuehl" w:hAnsi="FrankRuehl" w:hint="eastAsia"/>
          <w:color w:val="000000"/>
          <w:sz w:val="28"/>
          <w:shd w:val="clear" w:color="auto" w:fill="FFFFFF"/>
          <w:rtl/>
        </w:rPr>
        <w:t>בג</w:t>
      </w:r>
      <w:r w:rsidRPr="006C3B6E">
        <w:rPr>
          <w:rFonts w:ascii="FrankRuehl" w:hAnsi="FrankRuehl"/>
          <w:color w:val="000000"/>
          <w:sz w:val="28"/>
          <w:shd w:val="clear" w:color="auto" w:fill="FFFFFF"/>
          <w:rtl/>
        </w:rPr>
        <w:t>"</w:t>
      </w:r>
      <w:r w:rsidRPr="006C3B6E">
        <w:rPr>
          <w:rFonts w:ascii="FrankRuehl" w:hAnsi="FrankRuehl" w:hint="eastAsia"/>
          <w:color w:val="000000"/>
          <w:sz w:val="28"/>
          <w:shd w:val="clear" w:color="auto" w:fill="FFFFFF"/>
          <w:rtl/>
        </w:rPr>
        <w:t>ץ</w:t>
      </w:r>
      <w:r w:rsidRPr="006C3B6E">
        <w:rPr>
          <w:rFonts w:ascii="FrankRuehl" w:hAnsi="FrankRuehl"/>
          <w:color w:val="000000"/>
          <w:sz w:val="28"/>
          <w:shd w:val="clear" w:color="auto" w:fill="FFFFFF"/>
          <w:rtl/>
        </w:rPr>
        <w:t xml:space="preserve"> 1161/06 </w:t>
      </w:r>
      <w:r w:rsidRPr="006C3B6E">
        <w:rPr>
          <w:rFonts w:ascii="Century" w:hAnsi="Century" w:cs="Miriam" w:hint="eastAsia"/>
          <w:b/>
          <w:spacing w:val="0"/>
          <w:sz w:val="22"/>
          <w:szCs w:val="24"/>
          <w:shd w:val="clear" w:color="auto" w:fill="FFFFFF"/>
          <w:rtl/>
        </w:rPr>
        <w:t>תנועת</w:t>
      </w:r>
      <w:r w:rsidRPr="006C3B6E">
        <w:rPr>
          <w:rFonts w:ascii="Century" w:hAnsi="Century" w:cs="Miriam"/>
          <w:b/>
          <w:spacing w:val="0"/>
          <w:sz w:val="22"/>
          <w:szCs w:val="24"/>
          <w:shd w:val="clear" w:color="auto" w:fill="FFFFFF"/>
          <w:rtl/>
        </w:rPr>
        <w:t xml:space="preserve"> "</w:t>
      </w:r>
      <w:r w:rsidRPr="006C3B6E">
        <w:rPr>
          <w:rFonts w:ascii="Century" w:hAnsi="Century" w:cs="Miriam" w:hint="eastAsia"/>
          <w:b/>
          <w:spacing w:val="0"/>
          <w:sz w:val="22"/>
          <w:szCs w:val="24"/>
          <w:shd w:val="clear" w:color="auto" w:fill="FFFFFF"/>
          <w:rtl/>
        </w:rPr>
        <w:t>אנחנו</w:t>
      </w:r>
      <w:r w:rsidRPr="006C3B6E">
        <w:rPr>
          <w:rFonts w:ascii="Century" w:hAnsi="Century" w:cs="Miriam"/>
          <w:b/>
          <w:spacing w:val="0"/>
          <w:sz w:val="22"/>
          <w:szCs w:val="24"/>
          <w:shd w:val="clear" w:color="auto" w:fill="FFFFFF"/>
          <w:rtl/>
        </w:rPr>
        <w:t xml:space="preserve"> </w:t>
      </w:r>
      <w:r w:rsidRPr="006C3B6E">
        <w:rPr>
          <w:rFonts w:ascii="Century" w:hAnsi="Century" w:cs="Miriam" w:hint="eastAsia"/>
          <w:b/>
          <w:spacing w:val="0"/>
          <w:sz w:val="22"/>
          <w:szCs w:val="24"/>
          <w:shd w:val="clear" w:color="auto" w:fill="FFFFFF"/>
          <w:rtl/>
        </w:rPr>
        <w:t>על</w:t>
      </w:r>
      <w:r w:rsidRPr="006C3B6E">
        <w:rPr>
          <w:rFonts w:ascii="Century" w:hAnsi="Century" w:cs="Miriam"/>
          <w:b/>
          <w:spacing w:val="0"/>
          <w:sz w:val="22"/>
          <w:szCs w:val="24"/>
          <w:shd w:val="clear" w:color="auto" w:fill="FFFFFF"/>
          <w:rtl/>
        </w:rPr>
        <w:t xml:space="preserve"> </w:t>
      </w:r>
      <w:r w:rsidRPr="006C3B6E">
        <w:rPr>
          <w:rFonts w:ascii="Century" w:hAnsi="Century" w:cs="Miriam" w:hint="eastAsia"/>
          <w:b/>
          <w:spacing w:val="0"/>
          <w:sz w:val="22"/>
          <w:szCs w:val="24"/>
          <w:shd w:val="clear" w:color="auto" w:fill="FFFFFF"/>
          <w:rtl/>
        </w:rPr>
        <w:t>המפה</w:t>
      </w:r>
      <w:r w:rsidRPr="006C3B6E">
        <w:rPr>
          <w:rFonts w:ascii="Century" w:hAnsi="Century" w:cs="Miriam"/>
          <w:b/>
          <w:spacing w:val="0"/>
          <w:sz w:val="22"/>
          <w:szCs w:val="24"/>
          <w:shd w:val="clear" w:color="auto" w:fill="FFFFFF"/>
          <w:rtl/>
        </w:rPr>
        <w:t xml:space="preserve">" </w:t>
      </w:r>
      <w:r w:rsidRPr="006C3B6E">
        <w:rPr>
          <w:rFonts w:ascii="Century" w:hAnsi="Century" w:cs="Miriam" w:hint="eastAsia"/>
          <w:b/>
          <w:spacing w:val="0"/>
          <w:sz w:val="22"/>
          <w:szCs w:val="24"/>
          <w:shd w:val="clear" w:color="auto" w:fill="FFFFFF"/>
          <w:rtl/>
        </w:rPr>
        <w:t>נ</w:t>
      </w:r>
      <w:r w:rsidRPr="006C3B6E">
        <w:rPr>
          <w:rFonts w:ascii="Century" w:hAnsi="Century" w:cs="Miriam"/>
          <w:b/>
          <w:spacing w:val="0"/>
          <w:sz w:val="22"/>
          <w:szCs w:val="24"/>
          <w:shd w:val="clear" w:color="auto" w:fill="FFFFFF"/>
          <w:rtl/>
        </w:rPr>
        <w:t xml:space="preserve">' </w:t>
      </w:r>
      <w:r w:rsidRPr="006C3B6E">
        <w:rPr>
          <w:rFonts w:ascii="Century" w:hAnsi="Century" w:cs="Miriam" w:hint="eastAsia"/>
          <w:b/>
          <w:spacing w:val="0"/>
          <w:sz w:val="22"/>
          <w:szCs w:val="24"/>
          <w:shd w:val="clear" w:color="auto" w:fill="FFFFFF"/>
          <w:rtl/>
        </w:rPr>
        <w:t>שר</w:t>
      </w:r>
      <w:r w:rsidRPr="006C3B6E">
        <w:rPr>
          <w:rFonts w:ascii="Century" w:hAnsi="Century" w:cs="Miriam"/>
          <w:b/>
          <w:spacing w:val="0"/>
          <w:sz w:val="22"/>
          <w:szCs w:val="24"/>
          <w:shd w:val="clear" w:color="auto" w:fill="FFFFFF"/>
          <w:rtl/>
        </w:rPr>
        <w:t xml:space="preserve"> </w:t>
      </w:r>
      <w:r w:rsidRPr="006C3B6E">
        <w:rPr>
          <w:rFonts w:ascii="Century" w:hAnsi="Century" w:cs="Miriam" w:hint="eastAsia"/>
          <w:b/>
          <w:spacing w:val="0"/>
          <w:sz w:val="22"/>
          <w:szCs w:val="24"/>
          <w:shd w:val="clear" w:color="auto" w:fill="FFFFFF"/>
          <w:rtl/>
        </w:rPr>
        <w:t>הב</w:t>
      </w:r>
      <w:r w:rsidRPr="006C3B6E">
        <w:rPr>
          <w:rFonts w:ascii="Century" w:hAnsi="Century" w:cs="Miriam" w:hint="cs"/>
          <w:b/>
          <w:spacing w:val="0"/>
          <w:sz w:val="22"/>
          <w:szCs w:val="24"/>
          <w:shd w:val="clear" w:color="auto" w:fill="FFFFFF"/>
          <w:rtl/>
        </w:rPr>
        <w:t>י</w:t>
      </w:r>
      <w:r w:rsidRPr="006C3B6E">
        <w:rPr>
          <w:rFonts w:ascii="Century" w:hAnsi="Century" w:cs="Miriam" w:hint="eastAsia"/>
          <w:b/>
          <w:spacing w:val="0"/>
          <w:sz w:val="22"/>
          <w:szCs w:val="24"/>
          <w:shd w:val="clear" w:color="auto" w:fill="FFFFFF"/>
          <w:rtl/>
        </w:rPr>
        <w:t>טחון</w:t>
      </w:r>
      <w:r w:rsidRPr="006C3B6E">
        <w:rPr>
          <w:rFonts w:ascii="FrankRuehl" w:hAnsi="FrankRuehl" w:hint="cs"/>
          <w:color w:val="000000"/>
          <w:sz w:val="28"/>
          <w:shd w:val="clear" w:color="auto" w:fill="FFFFFF"/>
          <w:rtl/>
        </w:rPr>
        <w:t xml:space="preserve">, פסקה 10 </w:t>
      </w:r>
      <w:r w:rsidRPr="006C3B6E">
        <w:rPr>
          <w:rFonts w:ascii="FrankRuehl" w:hAnsi="FrankRuehl"/>
          <w:color w:val="000000"/>
          <w:sz w:val="28"/>
          <w:shd w:val="clear" w:color="auto" w:fill="FFFFFF"/>
          <w:rtl/>
        </w:rPr>
        <w:t>(14.10.2007)</w:t>
      </w:r>
      <w:r w:rsidRPr="006C3B6E">
        <w:rPr>
          <w:rFonts w:ascii="FrankRuehl" w:hAnsi="FrankRuehl" w:hint="cs"/>
          <w:color w:val="000000"/>
          <w:sz w:val="28"/>
          <w:shd w:val="clear" w:color="auto" w:fill="FFFFFF"/>
          <w:rtl/>
        </w:rPr>
        <w:t>)</w:t>
      </w:r>
      <w:r>
        <w:rPr>
          <w:rFonts w:ascii="FrankRuehl" w:hAnsi="FrankRuehl" w:hint="cs"/>
          <w:color w:val="000000"/>
          <w:sz w:val="28"/>
          <w:shd w:val="clear" w:color="auto" w:fill="FFFFFF"/>
          <w:rtl/>
        </w:rPr>
        <w:t>.</w:t>
      </w:r>
      <w:r>
        <w:rPr>
          <w:rFonts w:hint="cs"/>
          <w:rtl/>
        </w:rPr>
        <w:t xml:space="preserve"> במקרה שלפנינו, משיבי המדינה אינם מתנערים מחובתם העקרונית להרוס את המאחז הבלתי חוקי כל אימת שאיננו חוקי. ברם, כפי שהוסבר לנו באופן משכנע אין בידם לעשות כן בעת הזאת מסיבות עדכניות שקשורות לביטחון המדינה וליחסי החוץ שלה </w:t>
      </w:r>
      <w:r>
        <w:rPr>
          <w:rtl/>
        </w:rPr>
        <w:t>–</w:t>
      </w:r>
      <w:r>
        <w:rPr>
          <w:rFonts w:hint="cs"/>
          <w:rtl/>
        </w:rPr>
        <w:t xml:space="preserve"> סיבות שחשיבותן עולה בהרבה על הצורך הציבורי באכיפת דיני התכנון והבנייה במאחז וזכויות המדינה במקרקעין עליהם הוא הוקם שלא כדין.  </w:t>
      </w:r>
    </w:p>
    <w:p w:rsidR="002413B5" w:rsidRPr="004A6B65" w:rsidRDefault="002413B5" w:rsidP="002413B5">
      <w:pPr>
        <w:pStyle w:val="Ruller4"/>
        <w:numPr>
          <w:ilvl w:val="0"/>
          <w:numId w:val="0"/>
        </w:numPr>
      </w:pPr>
    </w:p>
    <w:p w:rsidR="002413B5" w:rsidRPr="00EA336E" w:rsidRDefault="002413B5" w:rsidP="002413B5">
      <w:pPr>
        <w:pStyle w:val="Ruller4"/>
      </w:pPr>
      <w:r>
        <w:rPr>
          <w:rFonts w:ascii="FrankRuehl" w:hAnsi="FrankRuehl" w:hint="cs"/>
          <w:color w:val="000000"/>
          <w:sz w:val="28"/>
          <w:shd w:val="clear" w:color="auto" w:fill="FFFFFF"/>
          <w:rtl/>
        </w:rPr>
        <w:t xml:space="preserve">בנסיבות אלו, העתירה שלפנינו מיצתה את עצמה. כל שנוכל לתת לעותרת הוא הכרזה כי המאחז נבנה שלא כדין ועל כן הוא בר-פינוי ובר-הריסה. בהחלטתם העדכנית של משיבי המדינה באשר לאכיפת הדין בנוגע למאחז ודייריו לא נוכל בעת הזאת להתערב. </w:t>
      </w:r>
    </w:p>
    <w:p w:rsidR="002413B5" w:rsidRPr="00EA336E" w:rsidRDefault="002413B5" w:rsidP="002413B5">
      <w:pPr>
        <w:pStyle w:val="Ruller4"/>
        <w:numPr>
          <w:ilvl w:val="0"/>
          <w:numId w:val="0"/>
        </w:numPr>
      </w:pPr>
    </w:p>
    <w:p w:rsidR="002413B5" w:rsidRDefault="002413B5" w:rsidP="002413B5">
      <w:pPr>
        <w:pStyle w:val="Ruller4"/>
      </w:pPr>
      <w:r>
        <w:rPr>
          <w:rFonts w:ascii="FrankRuehl" w:hAnsi="FrankRuehl" w:hint="cs"/>
          <w:color w:val="000000"/>
          <w:sz w:val="28"/>
          <w:shd w:val="clear" w:color="auto" w:fill="FFFFFF"/>
          <w:rtl/>
        </w:rPr>
        <w:t>דין העתירה להידחות</w:t>
      </w:r>
      <w:r w:rsidR="00F77362">
        <w:rPr>
          <w:rFonts w:ascii="FrankRuehl" w:hAnsi="FrankRuehl" w:hint="cs"/>
          <w:color w:val="000000"/>
          <w:sz w:val="28"/>
          <w:shd w:val="clear" w:color="auto" w:fill="FFFFFF"/>
          <w:rtl/>
        </w:rPr>
        <w:t xml:space="preserve"> אפוא</w:t>
      </w:r>
      <w:r>
        <w:rPr>
          <w:rFonts w:ascii="FrankRuehl" w:hAnsi="FrankRuehl" w:hint="cs"/>
          <w:color w:val="000000"/>
          <w:sz w:val="28"/>
          <w:shd w:val="clear" w:color="auto" w:fill="FFFFFF"/>
          <w:rtl/>
        </w:rPr>
        <w:t xml:space="preserve">. </w:t>
      </w:r>
    </w:p>
    <w:p w:rsidR="002413B5" w:rsidRDefault="002413B5" w:rsidP="002413B5">
      <w:pPr>
        <w:pStyle w:val="Ruller4"/>
        <w:numPr>
          <w:ilvl w:val="0"/>
          <w:numId w:val="0"/>
        </w:numPr>
      </w:pPr>
    </w:p>
    <w:p w:rsidR="002413B5" w:rsidRDefault="002413B5" w:rsidP="002413B5">
      <w:pPr>
        <w:pStyle w:val="Ruller4"/>
        <w:rPr>
          <w:rtl/>
        </w:rPr>
      </w:pPr>
      <w:r>
        <w:rPr>
          <w:rFonts w:hint="cs"/>
          <w:rtl/>
        </w:rPr>
        <w:t xml:space="preserve">אשר על כן, אם תישמע דעתי, העתירה תידחה והצו על-תנאי שהוצאנו יבוטל </w:t>
      </w:r>
      <w:r>
        <w:rPr>
          <w:rtl/>
        </w:rPr>
        <w:t>–</w:t>
      </w:r>
      <w:r>
        <w:rPr>
          <w:rFonts w:hint="cs"/>
          <w:rtl/>
        </w:rPr>
        <w:t xml:space="preserve"> בכפוף למתן סעד הצהרתי דלעיל. משיבי המדינה </w:t>
      </w:r>
      <w:proofErr w:type="spellStart"/>
      <w:r>
        <w:rPr>
          <w:rFonts w:hint="cs"/>
          <w:rtl/>
        </w:rPr>
        <w:t>ישאו</w:t>
      </w:r>
      <w:proofErr w:type="spellEnd"/>
      <w:r>
        <w:rPr>
          <w:rFonts w:hint="cs"/>
          <w:rtl/>
        </w:rPr>
        <w:t xml:space="preserve"> בהוצאות העותרת בסך כולל של 20,000 ש"ח. </w:t>
      </w:r>
    </w:p>
    <w:p w:rsidR="002413B5" w:rsidRDefault="002413B5" w:rsidP="002413B5">
      <w:pPr>
        <w:pStyle w:val="Ruller40"/>
        <w:jc w:val="right"/>
        <w:rPr>
          <w:rtl/>
        </w:rPr>
      </w:pPr>
    </w:p>
    <w:p w:rsidR="002413B5" w:rsidRDefault="002413B5" w:rsidP="002413B5">
      <w:pPr>
        <w:pStyle w:val="Ruller40"/>
        <w:jc w:val="right"/>
        <w:rPr>
          <w:rtl/>
        </w:rPr>
      </w:pPr>
      <w:r>
        <w:rPr>
          <w:rtl/>
        </w:rPr>
        <w:t>ש ו פ ט</w:t>
      </w:r>
    </w:p>
    <w:p w:rsidR="002413B5" w:rsidRDefault="002413B5" w:rsidP="002413B5">
      <w:pPr>
        <w:pStyle w:val="BODYVERDICT"/>
        <w:rPr>
          <w:rFonts w:cs="Miriam"/>
          <w:sz w:val="24"/>
          <w:szCs w:val="24"/>
          <w:u w:val="single"/>
          <w:rtl/>
        </w:rPr>
      </w:pPr>
      <w:r>
        <w:rPr>
          <w:rFonts w:cs="Miriam"/>
          <w:sz w:val="24"/>
          <w:szCs w:val="24"/>
          <w:u w:val="single"/>
          <w:rtl/>
        </w:rPr>
        <w:t xml:space="preserve">השופט </w:t>
      </w:r>
      <w:r>
        <w:rPr>
          <w:rFonts w:cs="Miriam" w:hint="cs"/>
          <w:sz w:val="24"/>
          <w:szCs w:val="24"/>
          <w:u w:val="single"/>
          <w:rtl/>
        </w:rPr>
        <w:t>ע</w:t>
      </w:r>
      <w:r>
        <w:rPr>
          <w:rFonts w:cs="Miriam"/>
          <w:sz w:val="24"/>
          <w:szCs w:val="24"/>
          <w:u w:val="single"/>
          <w:rtl/>
        </w:rPr>
        <w:t xml:space="preserve">' </w:t>
      </w:r>
      <w:r>
        <w:rPr>
          <w:rFonts w:cs="Miriam" w:hint="cs"/>
          <w:sz w:val="24"/>
          <w:szCs w:val="24"/>
          <w:u w:val="single"/>
          <w:rtl/>
        </w:rPr>
        <w:t>גרוסקופף</w:t>
      </w:r>
      <w:r>
        <w:rPr>
          <w:rFonts w:cs="Miriam"/>
          <w:sz w:val="24"/>
          <w:szCs w:val="24"/>
          <w:u w:val="single"/>
          <w:rtl/>
        </w:rPr>
        <w:t>:</w:t>
      </w:r>
    </w:p>
    <w:p w:rsidR="00822AB7" w:rsidRDefault="00822AB7" w:rsidP="002413B5">
      <w:pPr>
        <w:pStyle w:val="BODYVERDICT"/>
        <w:rPr>
          <w:rFonts w:ascii="Century" w:hAnsi="Century"/>
          <w:rtl/>
        </w:rPr>
      </w:pPr>
    </w:p>
    <w:p w:rsidR="00822AB7" w:rsidRDefault="00822AB7" w:rsidP="002413B5">
      <w:pPr>
        <w:pStyle w:val="BODYVERDICT"/>
        <w:rPr>
          <w:rFonts w:ascii="Century" w:hAnsi="Century"/>
          <w:rtl/>
        </w:rPr>
      </w:pPr>
    </w:p>
    <w:p w:rsidR="00822AB7" w:rsidRPr="00822AB7" w:rsidRDefault="00822AB7" w:rsidP="00822AB7">
      <w:pPr>
        <w:pStyle w:val="BODYVERDICT"/>
        <w:spacing w:line="360" w:lineRule="auto"/>
        <w:ind w:firstLine="720"/>
        <w:jc w:val="both"/>
        <w:rPr>
          <w:rFonts w:ascii="Century" w:hAnsi="Century"/>
          <w:rtl/>
        </w:rPr>
      </w:pPr>
      <w:r w:rsidRPr="00822AB7">
        <w:rPr>
          <w:rFonts w:ascii="Century" w:hAnsi="Century" w:hint="cs"/>
          <w:rtl/>
        </w:rPr>
        <w:t xml:space="preserve">אני מסכים לדחיית העתירה, כאמור בחוות דעת חברי, השופט </w:t>
      </w:r>
      <w:r w:rsidRPr="00822AB7">
        <w:rPr>
          <w:rFonts w:ascii="Century" w:hAnsi="Century" w:cs="Miriam" w:hint="cs"/>
          <w:b/>
          <w:spacing w:val="0"/>
          <w:szCs w:val="24"/>
          <w:rtl/>
        </w:rPr>
        <w:t>אלכס שטיין</w:t>
      </w:r>
      <w:r w:rsidRPr="00822AB7">
        <w:rPr>
          <w:rFonts w:ascii="Century" w:hAnsi="Century" w:hint="cs"/>
          <w:rtl/>
        </w:rPr>
        <w:t>, על הנמקותיו.</w:t>
      </w:r>
    </w:p>
    <w:p w:rsidR="002413B5" w:rsidRPr="00822AB7" w:rsidRDefault="002413B5" w:rsidP="002413B5">
      <w:pPr>
        <w:pStyle w:val="BODYVERDICT"/>
        <w:rPr>
          <w:rFonts w:ascii="Century" w:hAnsi="Century"/>
          <w:rtl/>
        </w:rPr>
      </w:pPr>
    </w:p>
    <w:p w:rsidR="00822AB7" w:rsidRDefault="00822AB7" w:rsidP="00822AB7">
      <w:pPr>
        <w:pStyle w:val="Ruller40"/>
        <w:bidi w:val="0"/>
        <w:jc w:val="right"/>
        <w:rPr>
          <w:rtl/>
        </w:rPr>
      </w:pPr>
      <w:r>
        <w:tab/>
      </w:r>
    </w:p>
    <w:p w:rsidR="002413B5" w:rsidRDefault="002413B5" w:rsidP="002413B5">
      <w:pPr>
        <w:pStyle w:val="Ruller40"/>
        <w:jc w:val="right"/>
        <w:rPr>
          <w:rtl/>
        </w:rPr>
      </w:pPr>
      <w:r>
        <w:rPr>
          <w:rtl/>
        </w:rPr>
        <w:t>ש ו פ ט</w:t>
      </w:r>
    </w:p>
    <w:p w:rsidR="002413B5" w:rsidRDefault="002413B5" w:rsidP="002413B5">
      <w:pPr>
        <w:pStyle w:val="Ruller40"/>
        <w:rPr>
          <w:rtl/>
        </w:rPr>
      </w:pPr>
    </w:p>
    <w:p w:rsidR="006338C3" w:rsidRDefault="006338C3" w:rsidP="002413B5">
      <w:pPr>
        <w:pStyle w:val="Ruller40"/>
        <w:rPr>
          <w:rtl/>
        </w:rPr>
      </w:pPr>
    </w:p>
    <w:p w:rsidR="002413B5" w:rsidRDefault="002413B5" w:rsidP="002413B5">
      <w:pPr>
        <w:pStyle w:val="BODYVERDICT"/>
        <w:rPr>
          <w:rFonts w:cs="Miriam"/>
          <w:sz w:val="24"/>
          <w:szCs w:val="24"/>
          <w:u w:val="single"/>
          <w:rtl/>
        </w:rPr>
      </w:pPr>
      <w:r>
        <w:rPr>
          <w:rFonts w:cs="Miriam"/>
          <w:sz w:val="24"/>
          <w:szCs w:val="24"/>
          <w:u w:val="single"/>
          <w:rtl/>
        </w:rPr>
        <w:t xml:space="preserve">השופט </w:t>
      </w:r>
      <w:r>
        <w:rPr>
          <w:rFonts w:cs="Miriam" w:hint="cs"/>
          <w:sz w:val="24"/>
          <w:szCs w:val="24"/>
          <w:u w:val="single"/>
          <w:rtl/>
        </w:rPr>
        <w:t>נ</w:t>
      </w:r>
      <w:r>
        <w:rPr>
          <w:rFonts w:cs="Miriam"/>
          <w:sz w:val="24"/>
          <w:szCs w:val="24"/>
          <w:u w:val="single"/>
          <w:rtl/>
        </w:rPr>
        <w:t xml:space="preserve">' </w:t>
      </w:r>
      <w:r>
        <w:rPr>
          <w:rFonts w:cs="Miriam" w:hint="cs"/>
          <w:sz w:val="24"/>
          <w:szCs w:val="24"/>
          <w:u w:val="single"/>
          <w:rtl/>
        </w:rPr>
        <w:t>סולברג</w:t>
      </w:r>
      <w:r>
        <w:rPr>
          <w:rFonts w:cs="Miriam"/>
          <w:sz w:val="24"/>
          <w:szCs w:val="24"/>
          <w:u w:val="single"/>
          <w:rtl/>
        </w:rPr>
        <w:t>:</w:t>
      </w:r>
    </w:p>
    <w:p w:rsidR="00DA5159" w:rsidRDefault="00DA5159" w:rsidP="00DA5159">
      <w:pPr>
        <w:tabs>
          <w:tab w:val="left" w:pos="2552"/>
        </w:tabs>
        <w:spacing w:line="360" w:lineRule="auto"/>
      </w:pPr>
    </w:p>
    <w:p w:rsidR="00DA5159" w:rsidRDefault="00DA5159" w:rsidP="00DA5159">
      <w:pPr>
        <w:pStyle w:val="Ruller40"/>
        <w:rPr>
          <w:rtl/>
        </w:rPr>
      </w:pPr>
      <w:r>
        <w:rPr>
          <w:rtl/>
        </w:rPr>
        <w:tab/>
      </w:r>
      <w:r>
        <w:rPr>
          <w:rFonts w:hint="cs"/>
          <w:rtl/>
        </w:rPr>
        <w:t xml:space="preserve">דעתי כדעתו של חברי, השופט </w:t>
      </w:r>
      <w:r w:rsidRPr="005C5259">
        <w:rPr>
          <w:rFonts w:ascii="Century" w:hAnsi="Century" w:cs="Miriam" w:hint="cs"/>
          <w:b/>
          <w:spacing w:val="0"/>
          <w:szCs w:val="24"/>
          <w:rtl/>
        </w:rPr>
        <w:t>א' שטיין</w:t>
      </w:r>
      <w:r>
        <w:rPr>
          <w:rFonts w:hint="cs"/>
          <w:rtl/>
        </w:rPr>
        <w:t>, כי דין הצו על-תנאי להתבטל ודין העתירה להידחות.</w:t>
      </w:r>
    </w:p>
    <w:p w:rsidR="00DA5159" w:rsidRDefault="00DA5159" w:rsidP="00DA5159">
      <w:pPr>
        <w:pStyle w:val="Ruller40"/>
        <w:rPr>
          <w:rtl/>
        </w:rPr>
      </w:pPr>
    </w:p>
    <w:p w:rsidR="00DA5159" w:rsidRDefault="00DA5159" w:rsidP="00DA5159">
      <w:pPr>
        <w:pStyle w:val="Ruller40"/>
        <w:rPr>
          <w:rtl/>
        </w:rPr>
      </w:pPr>
      <w:r>
        <w:rPr>
          <w:rtl/>
        </w:rPr>
        <w:tab/>
      </w:r>
      <w:r>
        <w:rPr>
          <w:rFonts w:hint="cs"/>
          <w:rtl/>
        </w:rPr>
        <w:t xml:space="preserve">עמדת ראש הממשלה, שר הביטחון, אלוף פיקוד מרכז וראש </w:t>
      </w:r>
      <w:proofErr w:type="spellStart"/>
      <w:r>
        <w:rPr>
          <w:rFonts w:hint="cs"/>
          <w:rtl/>
        </w:rPr>
        <w:t>המינהל</w:t>
      </w:r>
      <w:proofErr w:type="spellEnd"/>
      <w:r>
        <w:rPr>
          <w:rFonts w:hint="cs"/>
          <w:rtl/>
        </w:rPr>
        <w:t xml:space="preserve"> האזרחי (להלן: </w:t>
      </w:r>
      <w:r w:rsidRPr="003F4E09">
        <w:rPr>
          <w:rFonts w:ascii="Century" w:hAnsi="Century" w:cs="Miriam" w:hint="cs"/>
          <w:b/>
          <w:spacing w:val="0"/>
          <w:szCs w:val="24"/>
          <w:rtl/>
        </w:rPr>
        <w:t>משיבי המדינה</w:t>
      </w:r>
      <w:r w:rsidRPr="003F4E09">
        <w:rPr>
          <w:rFonts w:ascii="Century" w:hAnsi="Century" w:hint="cs"/>
          <w:rtl/>
        </w:rPr>
        <w:t>)</w:t>
      </w:r>
      <w:r>
        <w:rPr>
          <w:rFonts w:hint="cs"/>
          <w:rtl/>
        </w:rPr>
        <w:t xml:space="preserve">, כפי שהובאה בתצהיר התשובה, ובדיון בהתנגדות לצו על-תנאי, מציירת תמונה שונה מזו שעמדה לנגד עינינו ב-4 השנים האחרונות. אם עד כה הוגשו בקשות ארכה רבות, ובקשות חוזרות ונשנות לדחיית מועדי דיון, תוך 'גרירת רגליים' רבתי; בתצהיר התשובה, שהוגש זה מקרוב, טענו משיבי המדינה לראשונה, באופן מפורש, כי דין העתירה להידחות. לעמדתם, בעיתוי הנוכחי לא ניתן להרוס את הבנייה הבלתי-חוקית ולפנות את המקום מיושביו, כאשר שאלה זו, הנוגעת לקביעת האופן, העיתוי והמתווה המתאים, נתונה במובהק לשיקול דעתו הרחב של הדרג המדיני; ובית המשפט, כידוע, לא ימהר להתערב בו. </w:t>
      </w:r>
    </w:p>
    <w:p w:rsidR="00DA5159" w:rsidRDefault="00DA5159" w:rsidP="00DA5159">
      <w:pPr>
        <w:pStyle w:val="Ruller40"/>
        <w:rPr>
          <w:rtl/>
        </w:rPr>
      </w:pPr>
    </w:p>
    <w:p w:rsidR="00DA5159" w:rsidRDefault="00DA5159" w:rsidP="00DA5159">
      <w:pPr>
        <w:pStyle w:val="Ruller40"/>
        <w:rPr>
          <w:rtl/>
        </w:rPr>
      </w:pPr>
      <w:r>
        <w:rPr>
          <w:rtl/>
        </w:rPr>
        <w:tab/>
      </w:r>
      <w:r>
        <w:rPr>
          <w:rFonts w:hint="cs"/>
          <w:rtl/>
        </w:rPr>
        <w:t xml:space="preserve">אכן, כעולה מן הדברים שהוצגו ונאמרו לנו, בדלתיים פתוחות, ובעיקר בדלתיים סגורות, עד כה, חרף מאמצים רבים שנעשו, לא נמצאה שעת-כושר מתאימה למימוש הצווים. כדברים שנאמרו בתצהיר התשובה: </w:t>
      </w:r>
      <w:r w:rsidRPr="004848C8">
        <w:rPr>
          <w:rFonts w:ascii="Century" w:hAnsi="Century" w:cs="Miriam" w:hint="cs"/>
          <w:b/>
          <w:spacing w:val="0"/>
          <w:szCs w:val="24"/>
          <w:rtl/>
        </w:rPr>
        <w:t>"המשיבים, לרבות הדרג המדיני הבכיר ביותר, עומדים על הצורך במימוש צווי ההריסה. ואולם בעשותם כן, מבקשים הם לעשות זאת במועד ובאופן הנכונים ביותר, תוך הבאה בחשבון של מכלול השיקולים הצריכים לעניין [...]"</w:t>
      </w:r>
      <w:r>
        <w:rPr>
          <w:rFonts w:hint="cs"/>
          <w:rtl/>
        </w:rPr>
        <w:t xml:space="preserve">. כחברי השופט </w:t>
      </w:r>
      <w:r w:rsidRPr="00F62895">
        <w:rPr>
          <w:rFonts w:ascii="Century" w:hAnsi="Century" w:cs="Miriam" w:hint="cs"/>
          <w:b/>
          <w:spacing w:val="0"/>
          <w:szCs w:val="24"/>
          <w:rtl/>
        </w:rPr>
        <w:t>שטיין</w:t>
      </w:r>
      <w:r>
        <w:rPr>
          <w:rFonts w:hint="cs"/>
          <w:rtl/>
        </w:rPr>
        <w:t xml:space="preserve">, גם אני שוכנעתי, לאחר עיון בחומר החסוי שהוצג לנו, ולאחר שקיבלנו תשובות לשאלות ששאלנו, כי טעמים עדכניים, ממשיים, הנוגעים ליחסי החוץ והביטחון של המדינה, אינם מאפשרים את הפינוי בעת הזאת. </w:t>
      </w:r>
    </w:p>
    <w:p w:rsidR="00DA5159" w:rsidRDefault="00DA5159" w:rsidP="00DA5159">
      <w:pPr>
        <w:pStyle w:val="Ruller40"/>
        <w:spacing w:line="240" w:lineRule="auto"/>
        <w:rPr>
          <w:rtl/>
        </w:rPr>
      </w:pPr>
    </w:p>
    <w:p w:rsidR="00DA5159" w:rsidRDefault="00DA5159" w:rsidP="00DA5159">
      <w:pPr>
        <w:pStyle w:val="Ruller40"/>
        <w:rPr>
          <w:rtl/>
        </w:rPr>
      </w:pPr>
      <w:r>
        <w:rPr>
          <w:rtl/>
        </w:rPr>
        <w:tab/>
      </w:r>
      <w:r>
        <w:rPr>
          <w:rFonts w:hint="cs"/>
          <w:rtl/>
        </w:rPr>
        <w:t xml:space="preserve">על כן, משמשיבי המדינה הבהירו, כי לעת הזאת יש להמתין עם הפינוי, עד להיווצרות שעת-כושר מתאימה; ובשים לב לשיקול הדעת הרחב המסור לדרג המדיני </w:t>
      </w:r>
      <w:proofErr w:type="spellStart"/>
      <w:r>
        <w:rPr>
          <w:rFonts w:hint="cs"/>
          <w:rtl/>
        </w:rPr>
        <w:t>בכגון</w:t>
      </w:r>
      <w:proofErr w:type="spellEnd"/>
      <w:r>
        <w:rPr>
          <w:rFonts w:hint="cs"/>
          <w:rtl/>
        </w:rPr>
        <w:t xml:space="preserve"> דא </w:t>
      </w:r>
      <w:r>
        <w:rPr>
          <w:rtl/>
        </w:rPr>
        <w:t>–</w:t>
      </w:r>
      <w:r>
        <w:rPr>
          <w:rFonts w:hint="cs"/>
          <w:rtl/>
        </w:rPr>
        <w:t xml:space="preserve"> עניינים מדיניים וביטחוניים מן המעלה הראשונה </w:t>
      </w:r>
      <w:r>
        <w:rPr>
          <w:rtl/>
        </w:rPr>
        <w:t>–</w:t>
      </w:r>
      <w:r>
        <w:rPr>
          <w:rFonts w:hint="cs"/>
          <w:rtl/>
        </w:rPr>
        <w:t xml:space="preserve"> אין להותיר את העתירה תלויה ועומדת. למותר לציין, כי חזקה על הדרג המדיני שיעשה כחובתו, כי יפעל ליישׂוּם הצווים, שאת הצורך במימושם הדגיש פעם אחר פעם, באופן עקבי והחלטי, כמתחייב מ</w:t>
      </w:r>
      <w:r w:rsidRPr="0009471F">
        <w:rPr>
          <w:rFonts w:ascii="Century" w:hAnsi="Century" w:cs="Miriam" w:hint="cs"/>
          <w:b/>
          <w:spacing w:val="0"/>
          <w:szCs w:val="24"/>
          <w:rtl/>
        </w:rPr>
        <w:t xml:space="preserve">שלטון החוק </w:t>
      </w:r>
      <w:r>
        <w:rPr>
          <w:rtl/>
        </w:rPr>
        <w:t>–</w:t>
      </w:r>
      <w:r>
        <w:rPr>
          <w:rFonts w:hint="cs"/>
          <w:rtl/>
        </w:rPr>
        <w:t xml:space="preserve"> מיד לכשהדבר יתאפשר. </w:t>
      </w:r>
    </w:p>
    <w:p w:rsidR="00DA5159" w:rsidRDefault="00DA5159" w:rsidP="00DA5159">
      <w:pPr>
        <w:pStyle w:val="Ruller40"/>
        <w:rPr>
          <w:rtl/>
        </w:rPr>
      </w:pPr>
    </w:p>
    <w:p w:rsidR="00DA5159" w:rsidRDefault="00DA5159" w:rsidP="00DA5159">
      <w:pPr>
        <w:pStyle w:val="Ruller40"/>
        <w:rPr>
          <w:rtl/>
        </w:rPr>
      </w:pPr>
      <w:r>
        <w:rPr>
          <w:rtl/>
        </w:rPr>
        <w:tab/>
      </w:r>
      <w:r>
        <w:rPr>
          <w:rFonts w:hint="cs"/>
          <w:rtl/>
        </w:rPr>
        <w:t xml:space="preserve"> בסוף דבריו מציין חברי השופט </w:t>
      </w:r>
      <w:r w:rsidRPr="001A476E">
        <w:rPr>
          <w:rFonts w:ascii="Century" w:hAnsi="Century" w:cs="Miriam" w:hint="cs"/>
          <w:b/>
          <w:spacing w:val="0"/>
          <w:szCs w:val="24"/>
          <w:rtl/>
        </w:rPr>
        <w:t>שטיין</w:t>
      </w:r>
      <w:r>
        <w:rPr>
          <w:rFonts w:hint="cs"/>
          <w:rtl/>
        </w:rPr>
        <w:t xml:space="preserve">, כי </w:t>
      </w:r>
      <w:r w:rsidRPr="001A476E">
        <w:rPr>
          <w:rFonts w:ascii="Century" w:hAnsi="Century" w:cs="Miriam" w:hint="cs"/>
          <w:b/>
          <w:spacing w:val="0"/>
          <w:szCs w:val="24"/>
          <w:rtl/>
        </w:rPr>
        <w:t>"</w:t>
      </w:r>
      <w:r w:rsidRPr="001A476E">
        <w:rPr>
          <w:rFonts w:ascii="Century" w:hAnsi="Century" w:cs="Miriam"/>
          <w:b/>
          <w:spacing w:val="0"/>
          <w:szCs w:val="24"/>
          <w:rtl/>
        </w:rPr>
        <w:t>כל שנוכל לתת לעותרת הוא הכרזה כי המאחז נבנה שלא כדין ועל כן הוא בר-פינוי ובר-הריסה</w:t>
      </w:r>
      <w:r w:rsidRPr="001A476E">
        <w:rPr>
          <w:rFonts w:ascii="Century" w:hAnsi="Century" w:cs="Miriam" w:hint="cs"/>
          <w:b/>
          <w:spacing w:val="0"/>
          <w:szCs w:val="24"/>
          <w:rtl/>
        </w:rPr>
        <w:t>"</w:t>
      </w:r>
      <w:r w:rsidRPr="001A476E">
        <w:rPr>
          <w:rtl/>
        </w:rPr>
        <w:t>.</w:t>
      </w:r>
      <w:r>
        <w:rPr>
          <w:rFonts w:hint="cs"/>
          <w:rtl/>
        </w:rPr>
        <w:t xml:space="preserve"> הלכה למעשה, הכרזה שכזו </w:t>
      </w:r>
      <w:r>
        <w:rPr>
          <w:rFonts w:hint="cs"/>
          <w:rtl/>
        </w:rPr>
        <w:lastRenderedPageBreak/>
        <w:t xml:space="preserve">ניתנה עוד בשנת 2018, במסגרת </w:t>
      </w:r>
      <w:r w:rsidRPr="001A476E">
        <w:rPr>
          <w:rtl/>
        </w:rPr>
        <w:t xml:space="preserve">בג"ץ 2242/17 </w:t>
      </w:r>
      <w:r w:rsidRPr="001A476E">
        <w:rPr>
          <w:rFonts w:ascii="Century" w:hAnsi="Century" w:cs="Miriam"/>
          <w:b/>
          <w:spacing w:val="0"/>
          <w:szCs w:val="24"/>
          <w:rtl/>
        </w:rPr>
        <w:t>כפר אדומים כפר שיתופי להתיישבות קהילתית נ' שר הביטחון</w:t>
      </w:r>
      <w:r w:rsidRPr="001A476E">
        <w:rPr>
          <w:rtl/>
        </w:rPr>
        <w:t xml:space="preserve"> </w:t>
      </w:r>
      <w:r>
        <w:rPr>
          <w:rtl/>
        </w:rPr>
        <w:t>(24.5.2018</w:t>
      </w:r>
      <w:r>
        <w:rPr>
          <w:rFonts w:hint="cs"/>
          <w:rtl/>
        </w:rPr>
        <w:t xml:space="preserve">), שכן בשתיים מן העתירות שהתבררו בעת ההיא, נטען בין היתר גם כלפי עצם הפינוי. חזרתנו עתה על אשר נקבע בעבר, היא בבחינת </w:t>
      </w:r>
      <w:r w:rsidRPr="001F3B2D">
        <w:rPr>
          <w:rFonts w:ascii="Century" w:hAnsi="Century" w:cs="Miriam" w:hint="cs"/>
          <w:b/>
          <w:spacing w:val="0"/>
          <w:szCs w:val="24"/>
          <w:rtl/>
        </w:rPr>
        <w:t>"</w:t>
      </w:r>
      <w:r w:rsidRPr="001F3B2D">
        <w:rPr>
          <w:rFonts w:ascii="Century" w:hAnsi="Century" w:cs="Miriam"/>
          <w:b/>
          <w:spacing w:val="0"/>
          <w:szCs w:val="24"/>
          <w:rtl/>
        </w:rPr>
        <w:t>אין מזרזים אלא למזורזים</w:t>
      </w:r>
      <w:r w:rsidRPr="001F3B2D">
        <w:rPr>
          <w:rFonts w:ascii="Century" w:hAnsi="Century" w:cs="Miriam" w:hint="cs"/>
          <w:b/>
          <w:spacing w:val="0"/>
          <w:szCs w:val="24"/>
          <w:rtl/>
        </w:rPr>
        <w:t>"</w:t>
      </w:r>
      <w:r>
        <w:rPr>
          <w:rFonts w:hint="cs"/>
          <w:rtl/>
        </w:rPr>
        <w:t xml:space="preserve"> (ספרי, במדבר ה, ב). כוונתנו בכך גם למנוע פתחון-פה עתידי נוסף, ביחס לחוקיות הפינוי, נוכח חלוף הזמן. </w:t>
      </w:r>
    </w:p>
    <w:p w:rsidR="00DA5159" w:rsidRDefault="00DA5159" w:rsidP="00DA5159">
      <w:pPr>
        <w:pStyle w:val="Ruller40"/>
        <w:rPr>
          <w:rtl/>
        </w:rPr>
      </w:pPr>
    </w:p>
    <w:p w:rsidR="00FE7D91" w:rsidRPr="006338C3" w:rsidRDefault="00DA5159" w:rsidP="006338C3">
      <w:pPr>
        <w:pStyle w:val="Ruller40"/>
        <w:rPr>
          <w:rtl/>
        </w:rPr>
      </w:pPr>
      <w:r>
        <w:rPr>
          <w:rtl/>
        </w:rPr>
        <w:tab/>
      </w:r>
      <w:r>
        <w:rPr>
          <w:rFonts w:hint="cs"/>
          <w:rtl/>
        </w:rPr>
        <w:t xml:space="preserve">ועוד זאת, מן הראוי לזכור ולהזכיר בשער בת רבים: לצד החובה לקיים את הדין, ולאכוף את שלטון החוק, שקלו משיבי המדינה, והציעו הצעות גם לפנים משורת הדין. המדינה נאותה לגלות התחשבות, גמישות, אף רוחב-לב; תושבי המקום, לעומת זאת, היקשו את עורפם. אם </w:t>
      </w:r>
      <w:proofErr w:type="spellStart"/>
      <w:r>
        <w:rPr>
          <w:rFonts w:hint="cs"/>
          <w:rtl/>
        </w:rPr>
        <w:t>יאותו</w:t>
      </w:r>
      <w:proofErr w:type="spellEnd"/>
      <w:r>
        <w:rPr>
          <w:rFonts w:hint="cs"/>
          <w:rtl/>
        </w:rPr>
        <w:t xml:space="preserve"> התושבים לעזוב את המקום מרצון, הריהם צפויים לזכות בחלופת מגורים ראויה ביותר, </w:t>
      </w:r>
      <w:proofErr w:type="spellStart"/>
      <w:r>
        <w:rPr>
          <w:rFonts w:hint="cs"/>
          <w:rtl/>
        </w:rPr>
        <w:t>בג'האלין</w:t>
      </w:r>
      <w:proofErr w:type="spellEnd"/>
      <w:r>
        <w:rPr>
          <w:rFonts w:hint="cs"/>
          <w:rtl/>
        </w:rPr>
        <w:t xml:space="preserve"> מערב, במתווה שהוצג בשעתו בבג"ץ 2242/17 הנ"ל, אם כי אין לדעת עד מתי ניתן יהיה למימוש; תוקפו יפוג ביום מן הימים, ולא יעמוד לעד. חרף הבנייה הבלתי-חוקית שביצעו התושבים, ועל אף שהפרו ביודעין, בריש גלי, את החוק, הכשירה המדינה עבורם תא שטח נכבד, לטובת מגורים חלופיים, תוך השקעת משאבים רבים עד מאוד. החלופה שהוצעה, מעניקה לתושבים אפשרות מעבר למגורים בתנאים משופרים, כשלרשותם יעמדו מוסדות חינוך וציבור הולמים, דרכי תעסוקה מגוונות, פיתוח שטחים חינם אין-כסף, על חשבון המדינה, ועוד </w:t>
      </w:r>
      <w:proofErr w:type="spellStart"/>
      <w:r>
        <w:rPr>
          <w:rFonts w:hint="cs"/>
          <w:rtl/>
        </w:rPr>
        <w:t>ועוד</w:t>
      </w:r>
      <w:proofErr w:type="spellEnd"/>
      <w:r>
        <w:rPr>
          <w:rFonts w:hint="cs"/>
          <w:rtl/>
        </w:rPr>
        <w:t xml:space="preserve">. חלופה זו לא עמדה לבדה, ולצִדה הוצעו כאמור גם חלופות נוספות, טובות וראויות, תוך גילוי נכונות רבה מצד המדינה לסיום העניין בהסכמה. ברי אפוא, כי בחירה באחת מן החלופות שהוצעו, בהשקעה ממונית אדירה </w:t>
      </w:r>
      <w:r>
        <w:rPr>
          <w:rtl/>
        </w:rPr>
        <w:t>–</w:t>
      </w:r>
      <w:r>
        <w:rPr>
          <w:rFonts w:hint="cs"/>
          <w:rtl/>
        </w:rPr>
        <w:t xml:space="preserve"> אינה אלא מתבקשת, למי שטובת תושבי 'חאן אל </w:t>
      </w:r>
      <w:proofErr w:type="spellStart"/>
      <w:r>
        <w:rPr>
          <w:rFonts w:hint="cs"/>
          <w:rtl/>
        </w:rPr>
        <w:t>אחמר</w:t>
      </w:r>
      <w:proofErr w:type="spellEnd"/>
      <w:r>
        <w:rPr>
          <w:rFonts w:hint="cs"/>
          <w:rtl/>
        </w:rPr>
        <w:t>' באמת ובתמים לנגד עיניו.</w:t>
      </w:r>
    </w:p>
    <w:p w:rsidR="002413B5" w:rsidRDefault="002413B5" w:rsidP="002413B5">
      <w:pPr>
        <w:pStyle w:val="Ruller40"/>
        <w:jc w:val="right"/>
        <w:rPr>
          <w:rtl/>
        </w:rPr>
      </w:pPr>
    </w:p>
    <w:p w:rsidR="002413B5" w:rsidRDefault="002413B5" w:rsidP="002413B5">
      <w:pPr>
        <w:pStyle w:val="Ruller40"/>
        <w:jc w:val="right"/>
        <w:rPr>
          <w:rtl/>
        </w:rPr>
      </w:pPr>
      <w:r>
        <w:rPr>
          <w:rtl/>
        </w:rPr>
        <w:t>ש ו פ ט</w:t>
      </w:r>
    </w:p>
    <w:p w:rsidR="00FE7D91" w:rsidRDefault="00FE7D91" w:rsidP="002413B5">
      <w:pPr>
        <w:pStyle w:val="Ruller40"/>
        <w:rPr>
          <w:rtl/>
        </w:rPr>
      </w:pPr>
    </w:p>
    <w:p w:rsidR="00FE7D91" w:rsidRDefault="00FE7D91" w:rsidP="002413B5">
      <w:pPr>
        <w:pStyle w:val="Ruller40"/>
        <w:rPr>
          <w:rtl/>
        </w:rPr>
      </w:pPr>
      <w:r>
        <w:rPr>
          <w:rtl/>
        </w:rPr>
        <w:tab/>
      </w:r>
      <w:r>
        <w:rPr>
          <w:rFonts w:hint="cs"/>
          <w:rtl/>
        </w:rPr>
        <w:t xml:space="preserve">הוחלט לדחות את העתירה כאמור בפסק דינו של השופט </w:t>
      </w:r>
      <w:r w:rsidRPr="00FE7D91">
        <w:rPr>
          <w:rFonts w:ascii="Century" w:hAnsi="Century" w:cs="Miriam" w:hint="cs"/>
          <w:b/>
          <w:spacing w:val="0"/>
          <w:szCs w:val="24"/>
          <w:rtl/>
        </w:rPr>
        <w:t>א' שטיין</w:t>
      </w:r>
      <w:r>
        <w:rPr>
          <w:rFonts w:hint="cs"/>
          <w:rtl/>
        </w:rPr>
        <w:t>.</w:t>
      </w:r>
    </w:p>
    <w:p w:rsidR="00FE7D91" w:rsidRPr="006E2658" w:rsidRDefault="00FE7D91" w:rsidP="002413B5">
      <w:pPr>
        <w:pStyle w:val="Ruller40"/>
        <w:rPr>
          <w:rtl/>
        </w:rPr>
      </w:pPr>
    </w:p>
    <w:p w:rsidR="002413B5" w:rsidRDefault="002413B5" w:rsidP="002413B5">
      <w:pPr>
        <w:pStyle w:val="Ruller40"/>
        <w:rPr>
          <w:rtl/>
        </w:rPr>
      </w:pPr>
      <w:r>
        <w:rPr>
          <w:rtl/>
        </w:rPr>
        <w:tab/>
        <w:t xml:space="preserve">ניתן היום, </w:t>
      </w:r>
      <w:r>
        <w:rPr>
          <w:rFonts w:hint="cs"/>
          <w:rtl/>
        </w:rPr>
        <w:t>ט"ז</w:t>
      </w:r>
      <w:r>
        <w:rPr>
          <w:rtl/>
        </w:rPr>
        <w:t xml:space="preserve"> באייר </w:t>
      </w:r>
      <w:proofErr w:type="spellStart"/>
      <w:r>
        <w:rPr>
          <w:rtl/>
        </w:rPr>
        <w:t>התשפ"ג</w:t>
      </w:r>
      <w:proofErr w:type="spellEnd"/>
      <w:r>
        <w:rPr>
          <w:rtl/>
        </w:rPr>
        <w:t xml:space="preserve"> (</w:t>
      </w:r>
      <w:r>
        <w:rPr>
          <w:rFonts w:hint="eastAsia"/>
          <w:rtl/>
        </w:rPr>
        <w:t>‏</w:t>
      </w:r>
      <w:r>
        <w:rPr>
          <w:rFonts w:hint="cs"/>
          <w:rtl/>
        </w:rPr>
        <w:t>7.</w:t>
      </w:r>
      <w:r>
        <w:rPr>
          <w:rtl/>
        </w:rPr>
        <w:t>5.2023).</w:t>
      </w:r>
    </w:p>
    <w:p w:rsidR="002413B5" w:rsidRDefault="002413B5" w:rsidP="002413B5">
      <w:pPr>
        <w:pStyle w:val="Ruller40"/>
        <w:rPr>
          <w:rtl/>
        </w:rPr>
      </w:pPr>
    </w:p>
    <w:p w:rsidR="00FE7D91" w:rsidRDefault="00FE7D91" w:rsidP="002413B5">
      <w:pPr>
        <w:pStyle w:val="Ruller40"/>
        <w:rPr>
          <w:rtl/>
        </w:rPr>
      </w:pPr>
    </w:p>
    <w:tbl>
      <w:tblPr>
        <w:bidiVisual/>
        <w:tblW w:w="8363" w:type="dxa"/>
        <w:tblLook w:val="01E0" w:firstRow="1" w:lastRow="1" w:firstColumn="1" w:lastColumn="1" w:noHBand="0" w:noVBand="0"/>
      </w:tblPr>
      <w:tblGrid>
        <w:gridCol w:w="2787"/>
        <w:gridCol w:w="2788"/>
        <w:gridCol w:w="2788"/>
      </w:tblGrid>
      <w:tr w:rsidR="002413B5" w:rsidTr="00F43E1E">
        <w:tc>
          <w:tcPr>
            <w:tcW w:w="2842" w:type="dxa"/>
            <w:shd w:val="clear" w:color="auto" w:fill="auto"/>
          </w:tcPr>
          <w:p w:rsidR="002413B5" w:rsidRDefault="002413B5" w:rsidP="00F43E1E">
            <w:pPr>
              <w:pStyle w:val="Ruller40"/>
              <w:rPr>
                <w:rtl/>
              </w:rPr>
            </w:pPr>
            <w:r>
              <w:rPr>
                <w:rtl/>
              </w:rPr>
              <w:t>ש ו פ ט</w:t>
            </w:r>
          </w:p>
        </w:tc>
        <w:tc>
          <w:tcPr>
            <w:tcW w:w="2843" w:type="dxa"/>
            <w:shd w:val="clear" w:color="auto" w:fill="auto"/>
          </w:tcPr>
          <w:p w:rsidR="002413B5" w:rsidRDefault="002413B5" w:rsidP="00F43E1E">
            <w:pPr>
              <w:pStyle w:val="Ruller40"/>
              <w:jc w:val="center"/>
              <w:rPr>
                <w:rtl/>
              </w:rPr>
            </w:pPr>
            <w:r>
              <w:rPr>
                <w:rtl/>
              </w:rPr>
              <w:t>ש ו פ ט</w:t>
            </w:r>
          </w:p>
        </w:tc>
        <w:tc>
          <w:tcPr>
            <w:tcW w:w="2843" w:type="dxa"/>
            <w:shd w:val="clear" w:color="auto" w:fill="auto"/>
          </w:tcPr>
          <w:p w:rsidR="002413B5" w:rsidRDefault="002413B5" w:rsidP="00F43E1E">
            <w:pPr>
              <w:pStyle w:val="Ruller40"/>
              <w:jc w:val="right"/>
              <w:rPr>
                <w:rtl/>
              </w:rPr>
            </w:pPr>
            <w:r>
              <w:rPr>
                <w:rtl/>
              </w:rPr>
              <w:t>ש ו פ ט</w:t>
            </w:r>
          </w:p>
        </w:tc>
      </w:tr>
    </w:tbl>
    <w:p w:rsidR="002413B5" w:rsidRDefault="002413B5" w:rsidP="002413B5">
      <w:pPr>
        <w:pStyle w:val="Ruller40"/>
        <w:rPr>
          <w:rtl/>
        </w:rPr>
      </w:pPr>
    </w:p>
    <w:p w:rsidR="002413B5" w:rsidRDefault="002413B5" w:rsidP="002413B5">
      <w:pPr>
        <w:rPr>
          <w:szCs w:val="16"/>
          <w:rtl/>
        </w:rPr>
      </w:pPr>
      <w:r>
        <w:rPr>
          <w:szCs w:val="16"/>
          <w:rtl/>
        </w:rPr>
        <w:t>_________________</w:t>
      </w:r>
      <w:r>
        <w:rPr>
          <w:rFonts w:hint="cs"/>
          <w:szCs w:val="16"/>
          <w:rtl/>
        </w:rPr>
        <w:t>________</w:t>
      </w:r>
    </w:p>
    <w:p w:rsidR="002413B5" w:rsidRDefault="002413B5" w:rsidP="002413B5">
      <w:pPr>
        <w:pStyle w:val="Ruller38"/>
        <w:rPr>
          <w:rtl/>
        </w:rPr>
      </w:pPr>
      <w:r>
        <w:rPr>
          <w:sz w:val="16"/>
        </w:rPr>
        <w:t xml:space="preserve">   19023870_F43.docx   </w:t>
      </w:r>
      <w:r>
        <w:rPr>
          <w:sz w:val="16"/>
          <w:rtl/>
        </w:rPr>
        <w:t>עט</w:t>
      </w:r>
    </w:p>
    <w:p w:rsidR="002413B5" w:rsidRPr="00FC0252" w:rsidRDefault="002413B5" w:rsidP="002413B5">
      <w:pPr>
        <w:pStyle w:val="Ruller38"/>
        <w:rPr>
          <w:rtl/>
        </w:rPr>
      </w:pPr>
      <w:r>
        <w:rPr>
          <w:rtl/>
        </w:rPr>
        <w:t>מרכז מידע, טל'</w:t>
      </w:r>
      <w:r>
        <w:rPr>
          <w:rFonts w:hint="cs"/>
          <w:rtl/>
        </w:rPr>
        <w:t xml:space="preserve"> 077-2703333, 3852* ; אתר אינטרנט,  </w:t>
      </w:r>
      <w:hyperlink r:id="rId8" w:history="1">
        <w:r w:rsidRPr="00BB4C68">
          <w:rPr>
            <w:rStyle w:val="Hyperlink"/>
            <w:sz w:val="16"/>
          </w:rPr>
          <w:t>https://supreme.court.gov.il</w:t>
        </w:r>
      </w:hyperlink>
    </w:p>
    <w:p w:rsidR="002413B5" w:rsidRDefault="002413B5" w:rsidP="002413B5">
      <w:pPr>
        <w:pStyle w:val="Ruller38"/>
        <w:rPr>
          <w:rtl/>
        </w:rPr>
      </w:pPr>
    </w:p>
    <w:p w:rsidR="003F1F97" w:rsidRPr="002413B5" w:rsidRDefault="003F1F97" w:rsidP="002413B5">
      <w:pPr>
        <w:rPr>
          <w:szCs w:val="20"/>
          <w:rtl/>
        </w:rPr>
      </w:pPr>
    </w:p>
    <w:sectPr w:rsidR="003F1F97" w:rsidRPr="002413B5" w:rsidSect="00591983">
      <w:headerReference w:type="even" r:id="rId9"/>
      <w:headerReference w:type="default" r:id="rId10"/>
      <w:footerReference w:type="even" r:id="rId11"/>
      <w:footerReference w:type="default" r:id="rId12"/>
      <w:headerReference w:type="first" r:id="rId13"/>
      <w:footerReference w:type="first" r:id="rId14"/>
      <w:endnotePr>
        <w:numFmt w:val="lowerLetter"/>
      </w:endnotePr>
      <w:pgSz w:w="11906" w:h="16838" w:code="9"/>
      <w:pgMar w:top="1134" w:right="1797" w:bottom="1440" w:left="1797" w:header="567" w:footer="397" w:gutter="0"/>
      <w:cols w:space="720"/>
      <w:titlePg/>
      <w:bidi/>
      <w:rtlGutter/>
    </w:sectPr>
  </w:body>
</w:document>
</file>

<file path=word/customizations.xml><?xml version="1.0" encoding="utf-8"?>
<wne:tcg xmlns:r="http://schemas.openxmlformats.org/officeDocument/2006/relationships" xmlns:wne="http://schemas.microsoft.com/office/word/2006/wordml">
  <wne:keymaps>
    <wne:keymap wne:kcmPrimary="0433">
      <wne:acd wne:acdName="acd0"/>
    </wne:keymap>
    <wne:keymap wne:kcmPrimary="0434">
      <wne:acd wne:acdName="acd1"/>
    </wne:keymap>
    <wne:keymap wne:kcmPrimary="0435">
      <wne:acd wne:acdName="acd2"/>
    </wne:keymap>
  </wne:keymaps>
  <wne:toolbars>
    <wne:acdManifest>
      <wne:acdEntry wne:acdName="acd0"/>
      <wne:acdEntry wne:acdName="acd1"/>
      <wne:acdEntry wne:acdName="acd2"/>
    </wne:acdManifest>
    <wne:toolbarData r:id="rId1"/>
  </wne:toolbars>
  <wne:acds>
    <wne:acd wne:argValue="AgBSAHUAbABsAGUAcgAgADMA" wne:acdName="acd0" wne:fciIndexBasedOn="0065"/>
    <wne:acd wne:argValue="AgBSAHUAbABsAGUAcgA0AA==" wne:acdName="acd1" wne:fciIndexBasedOn="0065"/>
    <wne:acd wne:argValue="AgBSAHUAbABsAGUAcgA1AA==" wne:acdName="acd2"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7512" w:rsidRDefault="007F7512">
      <w:r>
        <w:separator/>
      </w:r>
    </w:p>
  </w:endnote>
  <w:endnote w:type="continuationSeparator" w:id="0">
    <w:p w:rsidR="007F7512" w:rsidRDefault="007F75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FrankRuehl">
    <w:panose1 w:val="020E0503060101010101"/>
    <w:charset w:val="00"/>
    <w:family w:val="swiss"/>
    <w:pitch w:val="variable"/>
    <w:sig w:usb0="00000803" w:usb1="00000000" w:usb2="00000000" w:usb3="00000000" w:csb0="00000021" w:csb1="00000000"/>
  </w:font>
  <w:font w:name="Arial TUR">
    <w:charset w:val="00"/>
    <w:family w:val="swiss"/>
    <w:pitch w:val="variable"/>
    <w:sig w:usb0="E0002EFF" w:usb1="C000785B" w:usb2="00000009" w:usb3="00000000" w:csb0="000001FF" w:csb1="00000000"/>
  </w:font>
  <w:font w:name="DavidFix">
    <w:charset w:val="B1"/>
    <w:family w:val="auto"/>
    <w:pitch w:val="variable"/>
    <w:sig w:usb0="00001801" w:usb1="00000000" w:usb2="00000000" w:usb3="00000000" w:csb0="00000020" w:csb1="00000000"/>
  </w:font>
  <w:font w:name="Guttman Yad">
    <w:panose1 w:val="02010401010101010101"/>
    <w:charset w:val="B1"/>
    <w:family w:val="auto"/>
    <w:pitch w:val="variable"/>
    <w:sig w:usb0="00000801" w:usb1="40000000" w:usb2="00000000" w:usb3="00000000" w:csb0="00000020"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Miriam">
    <w:panose1 w:val="020B0502050101010101"/>
    <w:charset w:val="00"/>
    <w:family w:val="swiss"/>
    <w:pitch w:val="variable"/>
    <w:sig w:usb0="00000803" w:usb1="00000000" w:usb2="00000000" w:usb3="00000000" w:csb0="00000021" w:csb1="00000000"/>
  </w:font>
  <w:font w:name="Century">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7102" w:rsidRDefault="00377102">
    <w:pPr>
      <w:pStyle w:val="a3"/>
      <w:framePr w:wrap="around" w:vAnchor="text" w:hAnchor="margin" w:xAlign="center" w:y="1"/>
      <w:rPr>
        <w:rStyle w:val="a4"/>
        <w:rtl/>
      </w:rPr>
    </w:pPr>
    <w:r>
      <w:rPr>
        <w:rStyle w:val="a4"/>
        <w:rtl/>
      </w:rPr>
      <w:fldChar w:fldCharType="begin"/>
    </w:r>
    <w:r>
      <w:rPr>
        <w:rStyle w:val="a4"/>
      </w:rPr>
      <w:instrText xml:space="preserve">PAGE  </w:instrText>
    </w:r>
    <w:r>
      <w:rPr>
        <w:rStyle w:val="a4"/>
        <w:rtl/>
      </w:rPr>
      <w:fldChar w:fldCharType="separate"/>
    </w:r>
    <w:r w:rsidR="00BC0E82">
      <w:rPr>
        <w:rStyle w:val="a4"/>
        <w:noProof/>
        <w:rtl/>
      </w:rPr>
      <w:t>1</w:t>
    </w:r>
    <w:r>
      <w:rPr>
        <w:rStyle w:val="a4"/>
        <w:rtl/>
      </w:rPr>
      <w:fldChar w:fldCharType="end"/>
    </w:r>
  </w:p>
  <w:p w:rsidR="00377102" w:rsidRDefault="00377102">
    <w:pPr>
      <w:pStyle w:val="a3"/>
      <w:rPr>
        <w:rtl/>
      </w:rPr>
    </w:pPr>
  </w:p>
  <w:p w:rsidR="00377102" w:rsidRDefault="00377102"/>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235A" w:rsidRDefault="0080235A">
    <w:pPr>
      <w:pStyle w:val="a3"/>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5B4D" w:rsidRPr="00F959DB" w:rsidRDefault="00045B4D" w:rsidP="00914156">
    <w:pPr>
      <w:pStyle w:val="a3"/>
      <w:bidi w:val="0"/>
      <w:jc w:val="right"/>
      <w:rPr>
        <w:sz w:val="16"/>
        <w:szCs w:val="16"/>
      </w:rPr>
    </w:pPr>
    <w:bookmarkStart w:id="6" w:name="footer_line"/>
    <w:bookmarkEnd w:id="6"/>
  </w:p>
  <w:p w:rsidR="00045B4D" w:rsidRDefault="00045B4D">
    <w:pPr>
      <w:pStyle w:val="a3"/>
      <w:rPr>
        <w:rtl/>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7512" w:rsidRDefault="007F7512">
      <w:r>
        <w:separator/>
      </w:r>
    </w:p>
  </w:footnote>
  <w:footnote w:type="continuationSeparator" w:id="0">
    <w:p w:rsidR="007F7512" w:rsidRDefault="007F75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7102" w:rsidRDefault="00377102">
    <w:pPr>
      <w:pStyle w:val="a5"/>
      <w:framePr w:wrap="around" w:vAnchor="text" w:hAnchor="margin" w:xAlign="center" w:y="1"/>
      <w:rPr>
        <w:rStyle w:val="a4"/>
        <w:rtl/>
      </w:rPr>
    </w:pPr>
    <w:r>
      <w:rPr>
        <w:rStyle w:val="a4"/>
        <w:rtl/>
      </w:rPr>
      <w:fldChar w:fldCharType="begin"/>
    </w:r>
    <w:r>
      <w:rPr>
        <w:rStyle w:val="a4"/>
      </w:rPr>
      <w:instrText xml:space="preserve">PAGE  </w:instrText>
    </w:r>
    <w:r>
      <w:rPr>
        <w:rStyle w:val="a4"/>
        <w:rtl/>
      </w:rPr>
      <w:fldChar w:fldCharType="separate"/>
    </w:r>
    <w:r w:rsidR="00BC0E82">
      <w:rPr>
        <w:rStyle w:val="a4"/>
        <w:noProof/>
        <w:rtl/>
      </w:rPr>
      <w:t>1</w:t>
    </w:r>
    <w:r>
      <w:rPr>
        <w:rStyle w:val="a4"/>
        <w:rtl/>
      </w:rPr>
      <w:fldChar w:fldCharType="end"/>
    </w:r>
  </w:p>
  <w:p w:rsidR="00377102" w:rsidRDefault="00377102">
    <w:pPr>
      <w:pStyle w:val="a5"/>
      <w:rPr>
        <w:rtl/>
      </w:rPr>
    </w:pPr>
  </w:p>
  <w:p w:rsidR="00377102" w:rsidRDefault="00377102"/>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7102" w:rsidRDefault="00377102">
    <w:pPr>
      <w:pStyle w:val="a5"/>
      <w:framePr w:wrap="around" w:vAnchor="text" w:hAnchor="margin" w:xAlign="center" w:y="1"/>
      <w:rPr>
        <w:rStyle w:val="a4"/>
        <w:rtl/>
      </w:rPr>
    </w:pPr>
    <w:r>
      <w:rPr>
        <w:rStyle w:val="a4"/>
        <w:rtl/>
      </w:rPr>
      <w:fldChar w:fldCharType="begin"/>
    </w:r>
    <w:r>
      <w:rPr>
        <w:rStyle w:val="a4"/>
      </w:rPr>
      <w:instrText xml:space="preserve">PAGE  </w:instrText>
    </w:r>
    <w:r>
      <w:rPr>
        <w:rStyle w:val="a4"/>
        <w:rtl/>
      </w:rPr>
      <w:fldChar w:fldCharType="separate"/>
    </w:r>
    <w:r w:rsidR="004F462C">
      <w:rPr>
        <w:rStyle w:val="a4"/>
        <w:noProof/>
        <w:rtl/>
      </w:rPr>
      <w:t>7</w:t>
    </w:r>
    <w:r>
      <w:rPr>
        <w:rStyle w:val="a4"/>
        <w:rtl/>
      </w:rPr>
      <w:fldChar w:fldCharType="end"/>
    </w:r>
  </w:p>
  <w:p w:rsidR="00377102" w:rsidRDefault="00377102">
    <w:pPr>
      <w:pStyle w:val="a5"/>
      <w:rPr>
        <w:rtl/>
      </w:rPr>
    </w:pPr>
  </w:p>
  <w:p w:rsidR="00377102" w:rsidRDefault="00377102"/>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bidiVisual/>
      <w:tblW w:w="8363" w:type="dxa"/>
      <w:tblLook w:val="0000" w:firstRow="0" w:lastRow="0" w:firstColumn="0" w:lastColumn="0" w:noHBand="0" w:noVBand="0"/>
    </w:tblPr>
    <w:tblGrid>
      <w:gridCol w:w="8363"/>
    </w:tblGrid>
    <w:tr w:rsidR="00045B4D" w:rsidTr="00EC23AC">
      <w:trPr>
        <w:trHeight w:val="342"/>
      </w:trPr>
      <w:tc>
        <w:tcPr>
          <w:tcW w:w="9828" w:type="dxa"/>
        </w:tcPr>
        <w:p w:rsidR="00377102" w:rsidRPr="002F7BB6" w:rsidRDefault="00EE3810" w:rsidP="00045B4D">
          <w:pPr>
            <w:pStyle w:val="Casenameintextbody"/>
            <w:jc w:val="center"/>
            <w:rPr>
              <w:u w:val="none"/>
              <w:rtl/>
            </w:rPr>
          </w:pPr>
          <w:r w:rsidRPr="002F7BB6">
            <w:rPr>
              <w:noProof/>
              <w:sz w:val="16"/>
              <w:szCs w:val="18"/>
              <w:u w:val="none"/>
              <w:rtl/>
            </w:rPr>
            <w:drawing>
              <wp:inline distT="0" distB="0" distL="0" distR="0">
                <wp:extent cx="464820" cy="449580"/>
                <wp:effectExtent l="0" t="0" r="0" b="7620"/>
                <wp:docPr id="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4820" cy="449580"/>
                        </a:xfrm>
                        <a:prstGeom prst="rect">
                          <a:avLst/>
                        </a:prstGeom>
                        <a:noFill/>
                        <a:ln>
                          <a:noFill/>
                        </a:ln>
                      </pic:spPr>
                    </pic:pic>
                  </a:graphicData>
                </a:graphic>
              </wp:inline>
            </w:drawing>
          </w:r>
        </w:p>
      </w:tc>
    </w:tr>
  </w:tbl>
  <w:p w:rsidR="00045B4D" w:rsidRDefault="00045B4D" w:rsidP="00045B4D">
    <w:pPr>
      <w:pStyle w:val="a5"/>
      <w:jc w:val="center"/>
      <w:rPr>
        <w:rtl/>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77A4F3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EB8EE9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6485F0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83003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204653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1CCE6B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02649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21A09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7046C2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B800B8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A6001B"/>
    <w:multiLevelType w:val="hybridMultilevel"/>
    <w:tmpl w:val="B2C4B5E4"/>
    <w:lvl w:ilvl="0" w:tplc="B980F30A">
      <w:start w:val="1"/>
      <w:numFmt w:val="decimal"/>
      <w:pStyle w:val="Ruller4"/>
      <w:lvlText w:val="%1."/>
      <w:lvlJc w:val="left"/>
      <w:pPr>
        <w:tabs>
          <w:tab w:val="num" w:pos="907"/>
        </w:tabs>
        <w:ind w:left="0" w:firstLine="0"/>
      </w:pPr>
      <w:rPr>
        <w:rFonts w:hint="default"/>
      </w:rPr>
    </w:lvl>
    <w:lvl w:ilvl="1" w:tplc="7A6AC7E8" w:tentative="1">
      <w:start w:val="1"/>
      <w:numFmt w:val="lowerLetter"/>
      <w:lvlText w:val="%2."/>
      <w:lvlJc w:val="left"/>
      <w:pPr>
        <w:tabs>
          <w:tab w:val="num" w:pos="1440"/>
        </w:tabs>
        <w:ind w:left="1440" w:hanging="360"/>
      </w:pPr>
    </w:lvl>
    <w:lvl w:ilvl="2" w:tplc="9FBA24F6" w:tentative="1">
      <w:start w:val="1"/>
      <w:numFmt w:val="lowerRoman"/>
      <w:lvlText w:val="%3."/>
      <w:lvlJc w:val="right"/>
      <w:pPr>
        <w:tabs>
          <w:tab w:val="num" w:pos="2160"/>
        </w:tabs>
        <w:ind w:left="2160" w:hanging="180"/>
      </w:pPr>
    </w:lvl>
    <w:lvl w:ilvl="3" w:tplc="433A6F96" w:tentative="1">
      <w:start w:val="1"/>
      <w:numFmt w:val="decimal"/>
      <w:lvlText w:val="%4."/>
      <w:lvlJc w:val="left"/>
      <w:pPr>
        <w:tabs>
          <w:tab w:val="num" w:pos="2880"/>
        </w:tabs>
        <w:ind w:left="2880" w:hanging="360"/>
      </w:pPr>
    </w:lvl>
    <w:lvl w:ilvl="4" w:tplc="369AFEAC" w:tentative="1">
      <w:start w:val="1"/>
      <w:numFmt w:val="lowerLetter"/>
      <w:lvlText w:val="%5."/>
      <w:lvlJc w:val="left"/>
      <w:pPr>
        <w:tabs>
          <w:tab w:val="num" w:pos="3600"/>
        </w:tabs>
        <w:ind w:left="3600" w:hanging="360"/>
      </w:pPr>
    </w:lvl>
    <w:lvl w:ilvl="5" w:tplc="B23C33BA" w:tentative="1">
      <w:start w:val="1"/>
      <w:numFmt w:val="lowerRoman"/>
      <w:lvlText w:val="%6."/>
      <w:lvlJc w:val="right"/>
      <w:pPr>
        <w:tabs>
          <w:tab w:val="num" w:pos="4320"/>
        </w:tabs>
        <w:ind w:left="4320" w:hanging="180"/>
      </w:pPr>
    </w:lvl>
    <w:lvl w:ilvl="6" w:tplc="CB5AFA34" w:tentative="1">
      <w:start w:val="1"/>
      <w:numFmt w:val="decimal"/>
      <w:lvlText w:val="%7."/>
      <w:lvlJc w:val="left"/>
      <w:pPr>
        <w:tabs>
          <w:tab w:val="num" w:pos="5040"/>
        </w:tabs>
        <w:ind w:left="5040" w:hanging="360"/>
      </w:pPr>
    </w:lvl>
    <w:lvl w:ilvl="7" w:tplc="3A58D106" w:tentative="1">
      <w:start w:val="1"/>
      <w:numFmt w:val="lowerLetter"/>
      <w:lvlText w:val="%8."/>
      <w:lvlJc w:val="left"/>
      <w:pPr>
        <w:tabs>
          <w:tab w:val="num" w:pos="5760"/>
        </w:tabs>
        <w:ind w:left="5760" w:hanging="360"/>
      </w:pPr>
    </w:lvl>
    <w:lvl w:ilvl="8" w:tplc="92F65D5E"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enforcement="0"/>
  <w:defaultTabStop w:val="720"/>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numFmt w:val="lowerLette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6227"/>
    <w:rsid w:val="00016EF1"/>
    <w:rsid w:val="00032036"/>
    <w:rsid w:val="00036227"/>
    <w:rsid w:val="00044953"/>
    <w:rsid w:val="00045B4D"/>
    <w:rsid w:val="000725F5"/>
    <w:rsid w:val="00072AD2"/>
    <w:rsid w:val="000B1478"/>
    <w:rsid w:val="000B5434"/>
    <w:rsid w:val="000C4690"/>
    <w:rsid w:val="000D25C4"/>
    <w:rsid w:val="000F2606"/>
    <w:rsid w:val="00134A67"/>
    <w:rsid w:val="001A0164"/>
    <w:rsid w:val="00200D6B"/>
    <w:rsid w:val="002413B5"/>
    <w:rsid w:val="00265F6E"/>
    <w:rsid w:val="002811FD"/>
    <w:rsid w:val="002876BF"/>
    <w:rsid w:val="002A4A7A"/>
    <w:rsid w:val="002A4BF3"/>
    <w:rsid w:val="002F7BB6"/>
    <w:rsid w:val="003448B2"/>
    <w:rsid w:val="00361DB2"/>
    <w:rsid w:val="0037622E"/>
    <w:rsid w:val="00377102"/>
    <w:rsid w:val="0039709B"/>
    <w:rsid w:val="003D72DA"/>
    <w:rsid w:val="003F1F97"/>
    <w:rsid w:val="0041048F"/>
    <w:rsid w:val="00437D59"/>
    <w:rsid w:val="004610A4"/>
    <w:rsid w:val="00486FD7"/>
    <w:rsid w:val="004B29FF"/>
    <w:rsid w:val="004C7868"/>
    <w:rsid w:val="004F462C"/>
    <w:rsid w:val="00503A3E"/>
    <w:rsid w:val="00527F02"/>
    <w:rsid w:val="005803E2"/>
    <w:rsid w:val="0058440A"/>
    <w:rsid w:val="00591983"/>
    <w:rsid w:val="00624A42"/>
    <w:rsid w:val="006338C3"/>
    <w:rsid w:val="0065522F"/>
    <w:rsid w:val="006A30F7"/>
    <w:rsid w:val="006C42AD"/>
    <w:rsid w:val="006E2658"/>
    <w:rsid w:val="00701F49"/>
    <w:rsid w:val="00725345"/>
    <w:rsid w:val="00736AAA"/>
    <w:rsid w:val="00741CC0"/>
    <w:rsid w:val="007B512F"/>
    <w:rsid w:val="007F7512"/>
    <w:rsid w:val="0080235A"/>
    <w:rsid w:val="00810894"/>
    <w:rsid w:val="008143AB"/>
    <w:rsid w:val="00822AB7"/>
    <w:rsid w:val="0083345F"/>
    <w:rsid w:val="00836667"/>
    <w:rsid w:val="00866D0F"/>
    <w:rsid w:val="0087402B"/>
    <w:rsid w:val="008C2F11"/>
    <w:rsid w:val="008D78B9"/>
    <w:rsid w:val="008E3F85"/>
    <w:rsid w:val="009051E8"/>
    <w:rsid w:val="00914156"/>
    <w:rsid w:val="00916FF8"/>
    <w:rsid w:val="00922093"/>
    <w:rsid w:val="00930C85"/>
    <w:rsid w:val="009B38DA"/>
    <w:rsid w:val="009F2F53"/>
    <w:rsid w:val="009F4187"/>
    <w:rsid w:val="00A12E0F"/>
    <w:rsid w:val="00A42710"/>
    <w:rsid w:val="00A51FAE"/>
    <w:rsid w:val="00A80845"/>
    <w:rsid w:val="00AB69F7"/>
    <w:rsid w:val="00AD097B"/>
    <w:rsid w:val="00AD64B9"/>
    <w:rsid w:val="00AE022B"/>
    <w:rsid w:val="00AF348D"/>
    <w:rsid w:val="00B009CC"/>
    <w:rsid w:val="00B0782A"/>
    <w:rsid w:val="00B62B8C"/>
    <w:rsid w:val="00B63343"/>
    <w:rsid w:val="00B87FF7"/>
    <w:rsid w:val="00B9569E"/>
    <w:rsid w:val="00BA0B08"/>
    <w:rsid w:val="00BC0E82"/>
    <w:rsid w:val="00BD40F9"/>
    <w:rsid w:val="00C41C86"/>
    <w:rsid w:val="00C63A6C"/>
    <w:rsid w:val="00CA13AF"/>
    <w:rsid w:val="00CA1444"/>
    <w:rsid w:val="00CB1590"/>
    <w:rsid w:val="00CB7600"/>
    <w:rsid w:val="00CC0E9D"/>
    <w:rsid w:val="00CC3639"/>
    <w:rsid w:val="00CD73BC"/>
    <w:rsid w:val="00CF3190"/>
    <w:rsid w:val="00D00B1D"/>
    <w:rsid w:val="00D00CB7"/>
    <w:rsid w:val="00D25F16"/>
    <w:rsid w:val="00DA5159"/>
    <w:rsid w:val="00E21CA9"/>
    <w:rsid w:val="00E31063"/>
    <w:rsid w:val="00E36FE9"/>
    <w:rsid w:val="00E52763"/>
    <w:rsid w:val="00E73E98"/>
    <w:rsid w:val="00E75223"/>
    <w:rsid w:val="00E90D72"/>
    <w:rsid w:val="00EA0BE1"/>
    <w:rsid w:val="00EC23AC"/>
    <w:rsid w:val="00EC2992"/>
    <w:rsid w:val="00ED46A4"/>
    <w:rsid w:val="00ED6FD9"/>
    <w:rsid w:val="00EE3810"/>
    <w:rsid w:val="00F63C3B"/>
    <w:rsid w:val="00F77362"/>
    <w:rsid w:val="00F959DB"/>
    <w:rsid w:val="00FC0252"/>
    <w:rsid w:val="00FE7D9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3F253CE-D4D7-4697-96FC-9769956DD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bidi/>
      <w:adjustRightInd w:val="0"/>
      <w:textAlignment w:val="baseline"/>
    </w:pPr>
    <w:rPr>
      <w:rFonts w:cs="David"/>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uller3">
    <w:name w:val="Ruller 3"/>
    <w:basedOn w:val="a"/>
    <w:rsid w:val="00A51FAE"/>
    <w:pPr>
      <w:tabs>
        <w:tab w:val="left" w:pos="3210"/>
        <w:tab w:val="left" w:pos="6753"/>
      </w:tabs>
      <w:spacing w:line="360" w:lineRule="auto"/>
    </w:pPr>
    <w:rPr>
      <w:rFonts w:cs="FrankRuehl"/>
      <w:spacing w:val="10"/>
      <w:sz w:val="22"/>
      <w:szCs w:val="28"/>
    </w:rPr>
  </w:style>
  <w:style w:type="paragraph" w:customStyle="1" w:styleId="Pskdinhead">
    <w:name w:val="Pskdin head"/>
    <w:basedOn w:val="a"/>
    <w:pPr>
      <w:spacing w:line="360" w:lineRule="auto"/>
    </w:pPr>
    <w:rPr>
      <w:b/>
      <w:bCs/>
      <w:u w:val="single"/>
    </w:rPr>
  </w:style>
  <w:style w:type="paragraph" w:customStyle="1" w:styleId="FileNumber">
    <w:name w:val="File Number"/>
    <w:basedOn w:val="a"/>
    <w:pPr>
      <w:spacing w:line="360" w:lineRule="auto"/>
      <w:jc w:val="right"/>
    </w:pPr>
    <w:rPr>
      <w:bCs/>
    </w:rPr>
  </w:style>
  <w:style w:type="paragraph" w:customStyle="1" w:styleId="FirstpagestylePsakdin">
    <w:name w:val="First page style Psak din"/>
    <w:basedOn w:val="Ruller3"/>
    <w:pPr>
      <w:tabs>
        <w:tab w:val="clear" w:pos="3210"/>
        <w:tab w:val="left" w:pos="3209"/>
      </w:tabs>
    </w:pPr>
    <w:rPr>
      <w:bCs/>
    </w:rPr>
  </w:style>
  <w:style w:type="paragraph" w:customStyle="1" w:styleId="TyutaDate">
    <w:name w:val="Tyuta Date"/>
    <w:basedOn w:val="a"/>
    <w:pPr>
      <w:jc w:val="center"/>
    </w:pPr>
    <w:rPr>
      <w:b/>
      <w:bCs/>
      <w:i/>
      <w:iCs/>
      <w:sz w:val="28"/>
      <w:szCs w:val="28"/>
    </w:rPr>
  </w:style>
  <w:style w:type="paragraph" w:customStyle="1" w:styleId="DocumentHead">
    <w:name w:val="Document Head"/>
    <w:basedOn w:val="a"/>
    <w:pPr>
      <w:spacing w:line="360" w:lineRule="auto"/>
      <w:jc w:val="center"/>
    </w:pPr>
    <w:rPr>
      <w:bCs/>
      <w:spacing w:val="30"/>
      <w:szCs w:val="28"/>
      <w:u w:val="single"/>
    </w:rPr>
  </w:style>
  <w:style w:type="paragraph" w:customStyle="1" w:styleId="TfutzaList">
    <w:name w:val="Tfutza List"/>
    <w:basedOn w:val="a"/>
    <w:rPr>
      <w:i/>
      <w:iCs/>
    </w:rPr>
  </w:style>
  <w:style w:type="paragraph" w:customStyle="1" w:styleId="Ruller40">
    <w:name w:val="Ruller4"/>
    <w:basedOn w:val="a"/>
    <w:link w:val="Ruller41"/>
    <w:rsid w:val="00A51FAE"/>
    <w:pPr>
      <w:tabs>
        <w:tab w:val="left" w:pos="800"/>
      </w:tabs>
      <w:spacing w:line="360" w:lineRule="auto"/>
      <w:jc w:val="both"/>
    </w:pPr>
    <w:rPr>
      <w:rFonts w:ascii="Arial TUR" w:hAnsi="Arial TUR" w:cs="FrankRuehl"/>
      <w:spacing w:val="10"/>
      <w:sz w:val="22"/>
      <w:szCs w:val="28"/>
    </w:rPr>
  </w:style>
  <w:style w:type="paragraph" w:customStyle="1" w:styleId="Ruller5">
    <w:name w:val="Ruller5"/>
    <w:basedOn w:val="a"/>
    <w:rsid w:val="00A51FAE"/>
    <w:pPr>
      <w:ind w:left="1642" w:right="1282"/>
      <w:jc w:val="both"/>
    </w:pPr>
    <w:rPr>
      <w:rFonts w:ascii="Arial TUR" w:hAnsi="Arial TUR" w:cs="FrankRuehl"/>
      <w:spacing w:val="10"/>
      <w:sz w:val="22"/>
      <w:szCs w:val="28"/>
    </w:rPr>
  </w:style>
  <w:style w:type="paragraph" w:customStyle="1" w:styleId="Ruller6">
    <w:name w:val="Ruller6"/>
    <w:basedOn w:val="a"/>
    <w:rsid w:val="00A51FAE"/>
    <w:pPr>
      <w:tabs>
        <w:tab w:val="left" w:pos="794"/>
        <w:tab w:val="left" w:pos="2268"/>
        <w:tab w:val="left" w:pos="5783"/>
        <w:tab w:val="left" w:pos="7371"/>
      </w:tabs>
    </w:pPr>
    <w:rPr>
      <w:rFonts w:ascii="Arial TUR" w:hAnsi="Arial TUR" w:cs="DavidFix"/>
      <w:spacing w:val="10"/>
      <w:sz w:val="22"/>
      <w:szCs w:val="20"/>
    </w:rPr>
  </w:style>
  <w:style w:type="character" w:customStyle="1" w:styleId="Delete">
    <w:name w:val="Delete"/>
    <w:rPr>
      <w:strike/>
    </w:rPr>
  </w:style>
  <w:style w:type="paragraph" w:customStyle="1" w:styleId="WriterName">
    <w:name w:val="Writer Name"/>
    <w:basedOn w:val="Ruller40"/>
    <w:next w:val="Ruller40"/>
    <w:rPr>
      <w:rFonts w:cs="David"/>
      <w:b/>
      <w:bCs/>
      <w:u w:val="single"/>
    </w:rPr>
  </w:style>
  <w:style w:type="character" w:customStyle="1" w:styleId="Hand">
    <w:name w:val="Hand"/>
    <w:rPr>
      <w:rFonts w:cs="Guttman Yad"/>
    </w:rPr>
  </w:style>
  <w:style w:type="paragraph" w:styleId="a3">
    <w:name w:val="footer"/>
    <w:basedOn w:val="a"/>
    <w:pPr>
      <w:tabs>
        <w:tab w:val="center" w:pos="4153"/>
        <w:tab w:val="right" w:pos="8306"/>
      </w:tabs>
    </w:pPr>
  </w:style>
  <w:style w:type="character" w:styleId="a4">
    <w:name w:val="page number"/>
    <w:basedOn w:val="a0"/>
  </w:style>
  <w:style w:type="paragraph" w:styleId="a5">
    <w:name w:val="header"/>
    <w:basedOn w:val="a"/>
    <w:pPr>
      <w:tabs>
        <w:tab w:val="center" w:pos="4153"/>
        <w:tab w:val="right" w:pos="8306"/>
      </w:tabs>
    </w:pPr>
  </w:style>
  <w:style w:type="paragraph" w:customStyle="1" w:styleId="2">
    <w:name w:val="ñâðåï2"/>
    <w:basedOn w:val="a"/>
    <w:pPr>
      <w:overflowPunct/>
      <w:textAlignment w:val="auto"/>
    </w:pPr>
    <w:rPr>
      <w:rFonts w:cs="Times New Roman"/>
    </w:rPr>
  </w:style>
  <w:style w:type="paragraph" w:customStyle="1" w:styleId="Casenameintextbody">
    <w:name w:val="Case name in text body"/>
    <w:basedOn w:val="a"/>
    <w:pPr>
      <w:overflowPunct/>
      <w:jc w:val="right"/>
      <w:textAlignment w:val="auto"/>
    </w:pPr>
    <w:rPr>
      <w:rFonts w:cs="Times New Roman"/>
      <w:b/>
      <w:bCs/>
      <w:u w:val="single"/>
    </w:rPr>
  </w:style>
  <w:style w:type="paragraph" w:customStyle="1" w:styleId="precasestyle">
    <w:name w:val="pre_case style"/>
    <w:basedOn w:val="a"/>
    <w:pPr>
      <w:tabs>
        <w:tab w:val="left" w:pos="2552"/>
      </w:tabs>
      <w:overflowPunct/>
      <w:ind w:right="2549"/>
      <w:textAlignment w:val="auto"/>
    </w:pPr>
    <w:rPr>
      <w:rFonts w:cs="Times New Roman"/>
    </w:rPr>
  </w:style>
  <w:style w:type="paragraph" w:customStyle="1" w:styleId="BodyRuller">
    <w:name w:val="Body Ruller"/>
    <w:basedOn w:val="a"/>
    <w:rPr>
      <w:sz w:val="22"/>
      <w:szCs w:val="28"/>
    </w:rPr>
  </w:style>
  <w:style w:type="paragraph" w:customStyle="1" w:styleId="Ruller38">
    <w:name w:val="סגנון Ruller 3 + (מורכב) ‏8 נק"/>
    <w:basedOn w:val="BodyRuller"/>
    <w:rPr>
      <w:szCs w:val="16"/>
    </w:rPr>
  </w:style>
  <w:style w:type="character" w:customStyle="1" w:styleId="Ruller30">
    <w:name w:val="Ruller 3 תו"/>
    <w:rPr>
      <w:rFonts w:cs="FrankRuehl"/>
      <w:sz w:val="22"/>
      <w:szCs w:val="28"/>
      <w:lang w:val="en-US" w:eastAsia="en-US" w:bidi="he-IL"/>
    </w:rPr>
  </w:style>
  <w:style w:type="character" w:customStyle="1" w:styleId="BodyRuller0">
    <w:name w:val="Body Ruller תו"/>
    <w:rPr>
      <w:rFonts w:cs="David"/>
      <w:sz w:val="22"/>
      <w:szCs w:val="28"/>
      <w:lang w:val="en-US" w:eastAsia="en-US" w:bidi="he-IL"/>
    </w:rPr>
  </w:style>
  <w:style w:type="character" w:customStyle="1" w:styleId="Ruller380">
    <w:name w:val="סגנון Ruller 3 + (מורכב) ‏8 נק תו"/>
    <w:rPr>
      <w:rFonts w:cs="David"/>
      <w:sz w:val="22"/>
      <w:szCs w:val="16"/>
      <w:lang w:val="en-US" w:eastAsia="en-US" w:bidi="he-IL"/>
    </w:rPr>
  </w:style>
  <w:style w:type="paragraph" w:customStyle="1" w:styleId="FileNumber0">
    <w:name w:val="סגנון File Number + ימין"/>
    <w:basedOn w:val="FileNumber"/>
    <w:rsid w:val="004C7868"/>
    <w:pPr>
      <w:jc w:val="left"/>
    </w:pPr>
    <w:rPr>
      <w:szCs w:val="28"/>
    </w:rPr>
  </w:style>
  <w:style w:type="paragraph" w:customStyle="1" w:styleId="BODYVERDICT">
    <w:name w:val="BODY VERDICT"/>
    <w:basedOn w:val="a"/>
    <w:rsid w:val="00036227"/>
    <w:rPr>
      <w:rFonts w:cs="FrankRuehl"/>
      <w:spacing w:val="10"/>
      <w:sz w:val="22"/>
      <w:szCs w:val="28"/>
    </w:rPr>
  </w:style>
  <w:style w:type="character" w:styleId="Hyperlink">
    <w:name w:val="Hyperlink"/>
    <w:rsid w:val="003F1F97"/>
    <w:rPr>
      <w:color w:val="0000FF"/>
      <w:u w:val="single"/>
    </w:rPr>
  </w:style>
  <w:style w:type="table" w:styleId="a6">
    <w:name w:val="Table Grid"/>
    <w:basedOn w:val="a1"/>
    <w:rsid w:val="003F1F97"/>
    <w:pPr>
      <w:overflowPunct w:val="0"/>
      <w:autoSpaceDE w:val="0"/>
      <w:autoSpaceDN w:val="0"/>
      <w:bidi/>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a0"/>
    <w:rsid w:val="0058440A"/>
    <w:rPr>
      <w:color w:val="954F72" w:themeColor="followedHyperlink"/>
      <w:u w:val="single"/>
    </w:rPr>
  </w:style>
  <w:style w:type="character" w:styleId="a7">
    <w:name w:val="annotation reference"/>
    <w:basedOn w:val="a0"/>
    <w:rsid w:val="00D00B1D"/>
    <w:rPr>
      <w:sz w:val="16"/>
      <w:szCs w:val="16"/>
    </w:rPr>
  </w:style>
  <w:style w:type="paragraph" w:styleId="a8">
    <w:name w:val="annotation text"/>
    <w:basedOn w:val="a"/>
    <w:link w:val="a9"/>
    <w:rsid w:val="00D00B1D"/>
    <w:rPr>
      <w:szCs w:val="20"/>
    </w:rPr>
  </w:style>
  <w:style w:type="character" w:customStyle="1" w:styleId="a9">
    <w:name w:val="טקסט הערה תו"/>
    <w:basedOn w:val="a0"/>
    <w:link w:val="a8"/>
    <w:rsid w:val="00D00B1D"/>
    <w:rPr>
      <w:rFonts w:cs="David"/>
    </w:rPr>
  </w:style>
  <w:style w:type="paragraph" w:styleId="aa">
    <w:name w:val="annotation subject"/>
    <w:basedOn w:val="a8"/>
    <w:next w:val="a8"/>
    <w:link w:val="ab"/>
    <w:rsid w:val="00D00B1D"/>
    <w:rPr>
      <w:b/>
      <w:bCs/>
    </w:rPr>
  </w:style>
  <w:style w:type="character" w:customStyle="1" w:styleId="ab">
    <w:name w:val="נושא הערה תו"/>
    <w:basedOn w:val="a9"/>
    <w:link w:val="aa"/>
    <w:rsid w:val="00D00B1D"/>
    <w:rPr>
      <w:rFonts w:cs="David"/>
      <w:b/>
      <w:bCs/>
    </w:rPr>
  </w:style>
  <w:style w:type="paragraph" w:styleId="ac">
    <w:name w:val="Balloon Text"/>
    <w:basedOn w:val="a"/>
    <w:link w:val="ad"/>
    <w:rsid w:val="00D00B1D"/>
    <w:rPr>
      <w:rFonts w:ascii="Tahoma" w:hAnsi="Tahoma" w:cs="Tahoma"/>
      <w:sz w:val="18"/>
      <w:szCs w:val="18"/>
    </w:rPr>
  </w:style>
  <w:style w:type="character" w:customStyle="1" w:styleId="ad">
    <w:name w:val="טקסט בלונים תו"/>
    <w:basedOn w:val="a0"/>
    <w:link w:val="ac"/>
    <w:rsid w:val="00D00B1D"/>
    <w:rPr>
      <w:rFonts w:ascii="Tahoma" w:hAnsi="Tahoma" w:cs="Tahoma"/>
      <w:sz w:val="18"/>
      <w:szCs w:val="18"/>
    </w:rPr>
  </w:style>
  <w:style w:type="paragraph" w:customStyle="1" w:styleId="ruller31">
    <w:name w:val="ruller 3"/>
    <w:basedOn w:val="Casenameintextbody"/>
    <w:rsid w:val="000B5434"/>
    <w:pPr>
      <w:jc w:val="left"/>
    </w:pPr>
    <w:rPr>
      <w:rFonts w:cs="David"/>
      <w:b w:val="0"/>
      <w:bCs w:val="0"/>
      <w:sz w:val="22"/>
      <w:u w:val="none"/>
    </w:rPr>
  </w:style>
  <w:style w:type="paragraph" w:customStyle="1" w:styleId="Ruller4">
    <w:name w:val="Ruller 4 ממוספר"/>
    <w:basedOn w:val="Ruller40"/>
    <w:next w:val="Ruller40"/>
    <w:rsid w:val="006E2658"/>
    <w:pPr>
      <w:numPr>
        <w:numId w:val="11"/>
      </w:numPr>
    </w:pPr>
    <w:rPr>
      <w:rFonts w:ascii="Garamond" w:hAnsi="Garamond"/>
      <w:sz w:val="24"/>
    </w:rPr>
  </w:style>
  <w:style w:type="character" w:customStyle="1" w:styleId="Ruller41">
    <w:name w:val="Ruller4 תו"/>
    <w:link w:val="Ruller40"/>
    <w:locked/>
    <w:rsid w:val="006E2658"/>
    <w:rPr>
      <w:rFonts w:ascii="Arial TUR" w:hAnsi="Arial TUR" w:cs="FrankRuehl"/>
      <w:spacing w:val="10"/>
      <w:sz w:val="22"/>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s://supreme.court.gov.il/"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2048</Words>
  <Characters>10078</Characters>
  <Application>Microsoft Office Word</Application>
  <DocSecurity>4</DocSecurity>
  <Lines>83</Lines>
  <Paragraphs>24</Paragraphs>
  <ScaleCrop>false</ScaleCrop>
  <HeadingPairs>
    <vt:vector size="2" baseType="variant">
      <vt:variant>
        <vt:lpstr>שם</vt:lpstr>
      </vt:variant>
      <vt:variant>
        <vt:i4>1</vt:i4>
      </vt:variant>
    </vt:vector>
  </HeadingPairs>
  <TitlesOfParts>
    <vt:vector size="1" baseType="lpstr">
      <vt:lpstr>פסק-דין בתיק בג"ץ  2387/19</vt:lpstr>
    </vt:vector>
  </TitlesOfParts>
  <Company>supreme court of israel</Company>
  <LinksUpToDate>false</LinksUpToDate>
  <CharactersWithSpaces>12102</CharactersWithSpaces>
  <SharedDoc>false</SharedDoc>
  <HLinks>
    <vt:vector size="6" baseType="variant">
      <vt:variant>
        <vt:i4>1966158</vt:i4>
      </vt:variant>
      <vt:variant>
        <vt:i4>12</vt:i4>
      </vt:variant>
      <vt:variant>
        <vt:i4>0</vt:i4>
      </vt:variant>
      <vt:variant>
        <vt:i4>5</vt:i4>
      </vt:variant>
      <vt:variant>
        <vt:lpwstr>http://www.court.gov.il/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פסק-דין בתיק בג"ץ  2387/19</dc:title>
  <dc:subject/>
  <dc:creator>Administrator</dc:creator>
  <cp:keywords/>
  <dc:description/>
  <cp:lastModifiedBy>מוטי גולן</cp:lastModifiedBy>
  <cp:revision>2</cp:revision>
  <cp:lastPrinted>2023-05-07T14:15:00Z</cp:lastPrinted>
  <dcterms:created xsi:type="dcterms:W3CDTF">2023-05-07T14:58:00Z</dcterms:created>
  <dcterms:modified xsi:type="dcterms:W3CDTF">2023-05-07T14:58:00Z</dcterms:modified>
</cp:coreProperties>
</file>