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2202670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דוד אמסלם</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8E657D9"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89020E">
        <w:rPr>
          <w:rtl/>
        </w:rPr>
        <w:tab/>
      </w:r>
      <w:r>
        <w:rPr>
          <w:rFonts w:hint="cs"/>
          <w:rtl/>
        </w:rPr>
        <w:t>פ/2809/25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הקמת ועדת חקירה ממלכתית לפרשת מסמך הרפז, התשפ"ג–2023</w:t>
      </w:r>
      <w:bookmarkEnd w:id="7"/>
    </w:p>
    <w:p w14:paraId="7F6961AE" w14:textId="77777777" w:rsidR="00E13C27" w:rsidRDefault="00E13C27" w:rsidP="0021633A">
      <w:pPr>
        <w:pStyle w:val="HeadDivreiHesber"/>
        <w:spacing w:before="0" w:after="0"/>
        <w:rPr>
          <w:rtl/>
        </w:rPr>
      </w:pPr>
    </w:p>
    <w:tbl>
      <w:tblPr>
        <w:tblStyle w:val="ad"/>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280424" w14:paraId="5852960E" w14:textId="77777777" w:rsidTr="00691EF1">
        <w:trPr>
          <w:cantSplit/>
        </w:trPr>
        <w:tc>
          <w:tcPr>
            <w:tcW w:w="1871" w:type="dxa"/>
          </w:tcPr>
          <w:p w14:paraId="1BE7B7F6" w14:textId="77777777" w:rsidR="00280424" w:rsidRPr="00314161" w:rsidRDefault="00280424" w:rsidP="00691EF1">
            <w:pPr>
              <w:pStyle w:val="TableSideHeading"/>
            </w:pPr>
            <w:r w:rsidRPr="00314161">
              <w:rPr>
                <w:rFonts w:hint="cs"/>
                <w:rtl/>
              </w:rPr>
              <w:t>הקמת ועדת חקירה</w:t>
            </w:r>
          </w:p>
        </w:tc>
        <w:tc>
          <w:tcPr>
            <w:tcW w:w="624" w:type="dxa"/>
          </w:tcPr>
          <w:p w14:paraId="23892000" w14:textId="77777777" w:rsidR="00280424" w:rsidRPr="00755198" w:rsidRDefault="00280424" w:rsidP="00691EF1">
            <w:pPr>
              <w:pStyle w:val="TableText"/>
              <w:jc w:val="both"/>
            </w:pPr>
            <w:r w:rsidRPr="00755198">
              <w:rPr>
                <w:rFonts w:hint="cs"/>
                <w:rtl/>
              </w:rPr>
              <w:t>1.</w:t>
            </w:r>
          </w:p>
        </w:tc>
        <w:tc>
          <w:tcPr>
            <w:tcW w:w="7143" w:type="dxa"/>
          </w:tcPr>
          <w:p w14:paraId="5E9D6C5A" w14:textId="77777777" w:rsidR="00280424" w:rsidRPr="007E650F" w:rsidRDefault="00280424" w:rsidP="00691EF1">
            <w:pPr>
              <w:pStyle w:val="TableBlock"/>
            </w:pPr>
            <w:r w:rsidRPr="007E650F">
              <w:rPr>
                <w:rFonts w:hint="cs"/>
                <w:rtl/>
              </w:rPr>
              <w:t>הממשלה תמנה ועדת חקירה ממלכתית לבדיקת פרשת "</w:t>
            </w:r>
            <w:r>
              <w:rPr>
                <w:rFonts w:hint="cs"/>
                <w:rtl/>
              </w:rPr>
              <w:t xml:space="preserve">מסמך </w:t>
            </w:r>
            <w:r w:rsidRPr="007E650F">
              <w:rPr>
                <w:rFonts w:hint="cs"/>
                <w:rtl/>
              </w:rPr>
              <w:t>הרפז".</w:t>
            </w:r>
          </w:p>
        </w:tc>
      </w:tr>
      <w:tr w:rsidR="00280424" w14:paraId="19DA99E4" w14:textId="77777777" w:rsidTr="00691EF1">
        <w:trPr>
          <w:cantSplit/>
        </w:trPr>
        <w:tc>
          <w:tcPr>
            <w:tcW w:w="1871" w:type="dxa"/>
          </w:tcPr>
          <w:p w14:paraId="73537D5C" w14:textId="77777777" w:rsidR="00280424" w:rsidRPr="00314161" w:rsidRDefault="00280424" w:rsidP="00691EF1">
            <w:pPr>
              <w:pStyle w:val="TableSideHeading"/>
            </w:pPr>
            <w:r w:rsidRPr="00314161">
              <w:rPr>
                <w:rFonts w:hint="cs"/>
                <w:rtl/>
              </w:rPr>
              <w:t>פעולת הוועדה</w:t>
            </w:r>
          </w:p>
        </w:tc>
        <w:tc>
          <w:tcPr>
            <w:tcW w:w="624" w:type="dxa"/>
          </w:tcPr>
          <w:p w14:paraId="64FD304D" w14:textId="77777777" w:rsidR="00280424" w:rsidRPr="00755198" w:rsidRDefault="00280424" w:rsidP="00691EF1">
            <w:pPr>
              <w:pStyle w:val="TableText"/>
              <w:jc w:val="both"/>
            </w:pPr>
            <w:r w:rsidRPr="00755198">
              <w:rPr>
                <w:rFonts w:hint="cs"/>
                <w:rtl/>
              </w:rPr>
              <w:t>2.</w:t>
            </w:r>
          </w:p>
        </w:tc>
        <w:tc>
          <w:tcPr>
            <w:tcW w:w="7143" w:type="dxa"/>
          </w:tcPr>
          <w:p w14:paraId="6032D9CE" w14:textId="77777777" w:rsidR="00280424" w:rsidRPr="007E650F" w:rsidRDefault="00280424" w:rsidP="00691EF1">
            <w:pPr>
              <w:pStyle w:val="TableBlock"/>
            </w:pPr>
            <w:r w:rsidRPr="007E650F">
              <w:rPr>
                <w:rFonts w:hint="cs"/>
                <w:rtl/>
              </w:rPr>
              <w:t>הוועדה תפע</w:t>
            </w:r>
            <w:r>
              <w:rPr>
                <w:rFonts w:hint="cs"/>
                <w:rtl/>
              </w:rPr>
              <w:t>ל על פי חוק ועדות חקירה, התשכ"ט</w:t>
            </w:r>
            <w:r>
              <w:rPr>
                <w:rFonts w:hint="eastAsia"/>
                <w:rtl/>
              </w:rPr>
              <w:t>–</w:t>
            </w:r>
            <w:r>
              <w:rPr>
                <w:rFonts w:hint="cs"/>
                <w:rtl/>
              </w:rPr>
              <w:t>1968</w:t>
            </w:r>
            <w:r w:rsidRPr="00755198">
              <w:rPr>
                <w:rStyle w:val="a5"/>
                <w:rFonts w:ascii="David" w:hAnsi="David"/>
                <w:sz w:val="26"/>
                <w:rtl/>
              </w:rPr>
              <w:footnoteReference w:id="2"/>
            </w:r>
            <w:r>
              <w:rPr>
                <w:rFonts w:hint="cs"/>
                <w:rtl/>
              </w:rPr>
              <w:t>.</w:t>
            </w:r>
          </w:p>
        </w:tc>
      </w:tr>
      <w:tr w:rsidR="00280424" w14:paraId="274BB516" w14:textId="77777777" w:rsidTr="00691EF1">
        <w:trPr>
          <w:cantSplit/>
        </w:trPr>
        <w:tc>
          <w:tcPr>
            <w:tcW w:w="1871" w:type="dxa"/>
          </w:tcPr>
          <w:p w14:paraId="724E8270" w14:textId="77777777" w:rsidR="00280424" w:rsidRPr="00314161" w:rsidRDefault="00280424" w:rsidP="00691EF1">
            <w:pPr>
              <w:pStyle w:val="TableSideHeading"/>
              <w:rPr>
                <w:rtl/>
              </w:rPr>
            </w:pPr>
            <w:r w:rsidRPr="00314161">
              <w:rPr>
                <w:rFonts w:hint="cs"/>
                <w:rtl/>
              </w:rPr>
              <w:t>מועד תחילת פעילות הוועדה</w:t>
            </w:r>
          </w:p>
        </w:tc>
        <w:tc>
          <w:tcPr>
            <w:tcW w:w="624" w:type="dxa"/>
          </w:tcPr>
          <w:p w14:paraId="48EEEEE2" w14:textId="77777777" w:rsidR="00280424" w:rsidRPr="00755198" w:rsidRDefault="00280424" w:rsidP="00691EF1">
            <w:pPr>
              <w:pStyle w:val="TableText"/>
              <w:jc w:val="both"/>
              <w:rPr>
                <w:rtl/>
              </w:rPr>
            </w:pPr>
            <w:r w:rsidRPr="00755198">
              <w:rPr>
                <w:rFonts w:hint="cs"/>
                <w:rtl/>
              </w:rPr>
              <w:t>3.</w:t>
            </w:r>
          </w:p>
        </w:tc>
        <w:tc>
          <w:tcPr>
            <w:tcW w:w="7143" w:type="dxa"/>
          </w:tcPr>
          <w:p w14:paraId="114F3908" w14:textId="77777777" w:rsidR="00280424" w:rsidRPr="007E650F" w:rsidRDefault="00280424" w:rsidP="00691EF1">
            <w:pPr>
              <w:pStyle w:val="TableBlock"/>
              <w:rPr>
                <w:rtl/>
              </w:rPr>
            </w:pPr>
            <w:r w:rsidRPr="007E650F">
              <w:rPr>
                <w:rFonts w:hint="cs"/>
                <w:rtl/>
              </w:rPr>
              <w:t xml:space="preserve">הוועדה תחל </w:t>
            </w:r>
            <w:r w:rsidRPr="00755198">
              <w:rPr>
                <w:rFonts w:hint="cs"/>
                <w:rtl/>
              </w:rPr>
              <w:t>פעולתה</w:t>
            </w:r>
            <w:r w:rsidRPr="007E650F">
              <w:rPr>
                <w:rFonts w:hint="cs"/>
                <w:rtl/>
              </w:rPr>
              <w:t xml:space="preserve"> תוך 30 ימים מיום תחילתו של חוק זה.</w:t>
            </w:r>
          </w:p>
        </w:tc>
      </w:tr>
    </w:tbl>
    <w:p w14:paraId="7F6961CA" w14:textId="77777777" w:rsidR="002D1EE3" w:rsidRDefault="002D1EE3" w:rsidP="002D1EE3">
      <w:pPr>
        <w:pStyle w:val="HeadDivreiHesber"/>
        <w:rPr>
          <w:rtl/>
        </w:rPr>
      </w:pPr>
      <w:r w:rsidRPr="0027450A">
        <w:rPr>
          <w:rFonts w:hint="cs"/>
          <w:rtl/>
        </w:rPr>
        <w:t>דברי הסבר</w:t>
      </w:r>
    </w:p>
    <w:p w14:paraId="368863CC" w14:textId="77777777" w:rsidR="00280424" w:rsidRPr="0089020E" w:rsidRDefault="00280424" w:rsidP="0089020E">
      <w:pPr>
        <w:pStyle w:val="Hesber"/>
        <w:spacing w:line="240" w:lineRule="auto"/>
        <w:rPr>
          <w:rtl/>
        </w:rPr>
      </w:pPr>
      <w:bookmarkStart w:id="8" w:name="_GoBack"/>
      <w:r w:rsidRPr="0089020E">
        <w:rPr>
          <w:rtl/>
        </w:rPr>
        <w:t xml:space="preserve">בשנת 2020, כעשור לאחר "פרשת מסמך הרפז", התפרסמו הקלטות חמורות של המעורבים בפרשה. </w:t>
      </w:r>
    </w:p>
    <w:p w14:paraId="29695BC2" w14:textId="77777777" w:rsidR="00280424" w:rsidRPr="0089020E" w:rsidRDefault="00280424" w:rsidP="0089020E">
      <w:pPr>
        <w:pStyle w:val="Hesber"/>
        <w:spacing w:line="240" w:lineRule="auto"/>
        <w:rPr>
          <w:rtl/>
        </w:rPr>
      </w:pPr>
      <w:r w:rsidRPr="0089020E">
        <w:rPr>
          <w:rtl/>
        </w:rPr>
        <w:t>על פי הפרסומים בכלי התקשורת השונים, המעורבים בפרשה, שהם מבכירי צה"ל והפרקליטות (דאז), פנו לבית המשפט בבקשה לקבל צווי חיסיון על הקלטות נוספות הקשורות בפרשה הנמצאות בידי עיתונאים ואף קיבלו צווים אלו.</w:t>
      </w:r>
    </w:p>
    <w:p w14:paraId="49F1E25D" w14:textId="77777777" w:rsidR="00280424" w:rsidRPr="0089020E" w:rsidRDefault="00280424" w:rsidP="0089020E">
      <w:pPr>
        <w:pStyle w:val="Hesber"/>
        <w:spacing w:line="240" w:lineRule="auto"/>
        <w:rPr>
          <w:rtl/>
        </w:rPr>
      </w:pPr>
      <w:r w:rsidRPr="0089020E">
        <w:rPr>
          <w:rtl/>
        </w:rPr>
        <w:t xml:space="preserve">מטרת העל של צווי חיסיון היא הגנה על אינטרס הציבור אולם במקרה זה בו מעורבים בעלי התפקידים הבכירים ביותר במגזר הציבורי, הצווים האמורים פוגעים בזכות הציבור לדעת בצורה אנושה ופוגעים קשות באמון במערכת המשפט. </w:t>
      </w:r>
    </w:p>
    <w:p w14:paraId="5F85EF29" w14:textId="77777777" w:rsidR="00280424" w:rsidRPr="0089020E" w:rsidRDefault="00280424" w:rsidP="0089020E">
      <w:pPr>
        <w:pStyle w:val="Hesber"/>
        <w:spacing w:line="240" w:lineRule="auto"/>
        <w:rPr>
          <w:rtl/>
        </w:rPr>
      </w:pPr>
      <w:r w:rsidRPr="0089020E">
        <w:rPr>
          <w:rtl/>
        </w:rPr>
        <w:t>הפרשה נחקרה על ידי משטרת ישראל בחופזה ועד היום למעשה, יש חשש שהמעורבים בפרשה, אשר מכהנים כיום בתפקידי מפתח במערכת הציבורית, לא נחקרו ביסודיות.</w:t>
      </w:r>
    </w:p>
    <w:p w14:paraId="3034EEE2" w14:textId="77777777" w:rsidR="00280424" w:rsidRPr="0089020E" w:rsidRDefault="00280424" w:rsidP="0089020E">
      <w:pPr>
        <w:pStyle w:val="Hesber"/>
        <w:spacing w:line="240" w:lineRule="auto"/>
        <w:rPr>
          <w:rtl/>
        </w:rPr>
      </w:pPr>
      <w:r w:rsidRPr="0089020E">
        <w:rPr>
          <w:rtl/>
        </w:rPr>
        <w:t>בשל כך, הפרשה נתפסת בתודעה הציבורית כאחד מהטיוחים הגדולים ביותר בהיסטוריה הישראלית.</w:t>
      </w:r>
    </w:p>
    <w:p w14:paraId="79BD18A8" w14:textId="77777777" w:rsidR="00280424" w:rsidRPr="0089020E" w:rsidRDefault="00280424" w:rsidP="0089020E">
      <w:pPr>
        <w:pStyle w:val="Hesber"/>
        <w:spacing w:line="240" w:lineRule="auto"/>
        <w:rPr>
          <w:rtl/>
        </w:rPr>
      </w:pPr>
      <w:r w:rsidRPr="0089020E">
        <w:rPr>
          <w:rtl/>
        </w:rPr>
        <w:t>לפיכך, יש להקים ועדת חקירה ממלכתית שתחקור את פרשת מסמך הרפז על כל השלכותיה לרבות קבלת כלל ההקלטות והמידע הרלוונטי וזאת על מנת לנקות את מערכת המשפט ואת הפרקליטות מכל רבב ולהשיב את אמון הציבור בהם.</w:t>
      </w:r>
    </w:p>
    <w:p w14:paraId="148B00D4" w14:textId="1F0EFA9D" w:rsidR="00280424" w:rsidRPr="0089020E" w:rsidRDefault="00280424" w:rsidP="0089020E">
      <w:pPr>
        <w:pStyle w:val="Hesber"/>
        <w:spacing w:line="240" w:lineRule="auto"/>
        <w:rPr>
          <w:rtl/>
        </w:rPr>
      </w:pPr>
      <w:r w:rsidRPr="0089020E">
        <w:rPr>
          <w:rFonts w:hint="cs"/>
          <w:rtl/>
        </w:rPr>
        <w:t>הצעת חוק זהה הונחה על שולחן הכנסת העשרים וארבע על ידי חבר הכנסת דוד אמסלם (פ/</w:t>
      </w:r>
      <w:r w:rsidR="00557068" w:rsidRPr="0089020E">
        <w:rPr>
          <w:rFonts w:hint="cs"/>
          <w:rtl/>
        </w:rPr>
        <w:t>2567</w:t>
      </w:r>
      <w:r w:rsidRPr="0089020E">
        <w:rPr>
          <w:rFonts w:hint="cs"/>
          <w:rtl/>
        </w:rPr>
        <w:t>/24)</w:t>
      </w:r>
      <w:r w:rsidR="00557068" w:rsidRPr="0089020E">
        <w:rPr>
          <w:rFonts w:hint="cs"/>
          <w:rtl/>
        </w:rPr>
        <w:t>.</w:t>
      </w:r>
    </w:p>
    <w:p w14:paraId="0F3FD65A" w14:textId="721CA42E" w:rsidR="00557068" w:rsidRPr="0089020E" w:rsidRDefault="00557068" w:rsidP="0089020E">
      <w:pPr>
        <w:pStyle w:val="Hesber"/>
        <w:spacing w:line="240" w:lineRule="auto"/>
        <w:rPr>
          <w:rtl/>
        </w:rPr>
      </w:pPr>
      <w:r w:rsidRPr="0089020E">
        <w:rPr>
          <w:rFonts w:hint="cs"/>
          <w:rtl/>
        </w:rPr>
        <w:t>הצעת החוק זהה לפ/2567/24 ולפיכך לא נבדקה מחדש על ידי הלשכה המשפטית של הכנסת.</w:t>
      </w:r>
    </w:p>
    <w:p w14:paraId="7F6961CB" w14:textId="55A3C146" w:rsidR="00E13C27" w:rsidRPr="0089020E" w:rsidRDefault="00E13C27" w:rsidP="0089020E">
      <w:pPr>
        <w:pStyle w:val="Hesber"/>
        <w:spacing w:line="240" w:lineRule="auto"/>
        <w:rPr>
          <w:rtl/>
        </w:rPr>
      </w:pPr>
    </w:p>
    <w:p w14:paraId="2A6E3D40" w14:textId="77777777" w:rsidR="00CD2C6F" w:rsidRPr="0089020E" w:rsidRDefault="0089020E" w:rsidP="0089020E">
      <w:pPr>
        <w:pStyle w:val="Hesber"/>
        <w:spacing w:line="240" w:lineRule="auto"/>
      </w:pPr>
      <w:bookmarkStart w:id="9" w:name="selectedDocDateB"/>
      <w:bookmarkEnd w:id="9"/>
      <w:r w:rsidRPr="0089020E">
        <w:rPr>
          <w:rFonts w:hint="cs"/>
          <w:rtl/>
        </w:rPr>
        <w:t>--------------------------------</w:t>
      </w:r>
    </w:p>
    <w:p w14:paraId="6230773F" w14:textId="77777777" w:rsidR="00CD2C6F" w:rsidRPr="0089020E" w:rsidRDefault="0089020E" w:rsidP="0089020E">
      <w:pPr>
        <w:pStyle w:val="Hesber"/>
        <w:spacing w:line="240" w:lineRule="auto"/>
      </w:pPr>
      <w:r w:rsidRPr="0089020E">
        <w:rPr>
          <w:rFonts w:hint="cs"/>
          <w:rtl/>
        </w:rPr>
        <w:t>הוגשה ליו"ר הכנסת והסגנים</w:t>
      </w:r>
    </w:p>
    <w:p w14:paraId="785B9229" w14:textId="77777777" w:rsidR="00CD2C6F" w:rsidRPr="0089020E" w:rsidRDefault="0089020E" w:rsidP="0089020E">
      <w:pPr>
        <w:pStyle w:val="Hesber"/>
        <w:spacing w:line="240" w:lineRule="auto"/>
      </w:pPr>
      <w:r w:rsidRPr="0089020E">
        <w:rPr>
          <w:rFonts w:hint="cs"/>
          <w:rtl/>
        </w:rPr>
        <w:t>והונחה על שולחן הכנסת ביום</w:t>
      </w:r>
    </w:p>
    <w:p w14:paraId="6C032CC6" w14:textId="77777777" w:rsidR="00CD2C6F" w:rsidRPr="0089020E" w:rsidRDefault="0089020E" w:rsidP="0089020E">
      <w:pPr>
        <w:pStyle w:val="Hesber"/>
        <w:spacing w:line="240" w:lineRule="auto"/>
      </w:pPr>
      <w:r w:rsidRPr="0089020E">
        <w:rPr>
          <w:rFonts w:hint="cs"/>
          <w:rtl/>
        </w:rPr>
        <w:t xml:space="preserve">כ' באדר התשפ"ג (13.03.2023) </w:t>
      </w:r>
    </w:p>
    <w:bookmarkEnd w:id="8"/>
    <w:p w14:paraId="4EFBBC29" w14:textId="77777777" w:rsidR="00CD2C6F" w:rsidRPr="0089020E" w:rsidRDefault="00CD2C6F" w:rsidP="0089020E">
      <w:pPr>
        <w:pStyle w:val="Hesber"/>
        <w:spacing w:line="240" w:lineRule="auto"/>
      </w:pPr>
    </w:p>
    <w:sectPr w:rsidR="00CD2C6F" w:rsidRPr="0089020E"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9CB5259"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89020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6EC3EB" w14:textId="77777777" w:rsidR="00280424" w:rsidRDefault="00280424" w:rsidP="00280424">
      <w:pPr>
        <w:pStyle w:val="a4"/>
        <w:rPr>
          <w:rtl/>
        </w:rPr>
      </w:pPr>
      <w:r>
        <w:rPr>
          <w:rStyle w:val="a5"/>
        </w:rPr>
        <w:footnoteRef/>
      </w:r>
      <w:r>
        <w:rPr>
          <w:rtl/>
        </w:rPr>
        <w:t xml:space="preserve"> </w:t>
      </w:r>
      <w:r>
        <w:rPr>
          <w:rFonts w:hint="cs"/>
          <w:rtl/>
        </w:rPr>
        <w:t>ס"ח התשכ"ט, עמ' 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0424"/>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57068"/>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020E"/>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D2C6F"/>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628D6C6-7997-456C-A2C7-B4BF6D4C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06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5706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5706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5706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57068"/>
    <w:pPr>
      <w:spacing w:before="40" w:after="120"/>
      <w:ind w:left="0"/>
      <w:outlineLvl w:val="3"/>
    </w:pPr>
    <w:rPr>
      <w:b/>
      <w:bCs/>
      <w:color w:val="000000" w:themeColor="text1"/>
      <w:szCs w:val="28"/>
    </w:rPr>
  </w:style>
  <w:style w:type="paragraph" w:styleId="5">
    <w:name w:val="heading 5"/>
    <w:basedOn w:val="a"/>
    <w:next w:val="a"/>
    <w:link w:val="50"/>
    <w:uiPriority w:val="9"/>
    <w:unhideWhenUsed/>
    <w:qFormat/>
    <w:rsid w:val="00557068"/>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5706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57068"/>
    <w:rPr>
      <w:sz w:val="36"/>
      <w:szCs w:val="52"/>
    </w:rPr>
  </w:style>
  <w:style w:type="paragraph" w:customStyle="1" w:styleId="Cover3-Haknesset">
    <w:name w:val="Cover 3-Haknesset"/>
    <w:basedOn w:val="Cover1-Reshumot"/>
    <w:rsid w:val="00557068"/>
    <w:rPr>
      <w:b/>
      <w:bCs/>
      <w:spacing w:val="60"/>
    </w:rPr>
  </w:style>
  <w:style w:type="paragraph" w:customStyle="1" w:styleId="Cover4-Date">
    <w:name w:val="Cover 4-Date"/>
    <w:basedOn w:val="a"/>
    <w:rsid w:val="0055706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5706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5706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57068"/>
    <w:pPr>
      <w:spacing w:before="120" w:after="120"/>
    </w:pPr>
    <w:rPr>
      <w:color w:val="FF0000"/>
      <w:w w:val="80"/>
    </w:rPr>
  </w:style>
  <w:style w:type="paragraph" w:styleId="a3">
    <w:name w:val="endnote text"/>
    <w:basedOn w:val="a"/>
    <w:semiHidden/>
    <w:rsid w:val="00557068"/>
    <w:pPr>
      <w:ind w:left="227" w:hanging="227"/>
    </w:pPr>
    <w:rPr>
      <w:sz w:val="14"/>
      <w:szCs w:val="22"/>
    </w:rPr>
  </w:style>
  <w:style w:type="paragraph" w:customStyle="1" w:styleId="TableText">
    <w:name w:val="Table Text"/>
    <w:basedOn w:val="a"/>
    <w:rsid w:val="0055706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57068"/>
    <w:pPr>
      <w:outlineLvl w:val="2"/>
    </w:pPr>
  </w:style>
  <w:style w:type="paragraph" w:customStyle="1" w:styleId="TableBlock">
    <w:name w:val="Table Block"/>
    <w:basedOn w:val="TableText"/>
    <w:rsid w:val="00557068"/>
    <w:pPr>
      <w:jc w:val="both"/>
    </w:pPr>
  </w:style>
  <w:style w:type="paragraph" w:customStyle="1" w:styleId="TableHead">
    <w:name w:val="Table Head"/>
    <w:basedOn w:val="TableText"/>
    <w:rsid w:val="0055706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57068"/>
    <w:pPr>
      <w:outlineLvl w:val="9"/>
    </w:pPr>
  </w:style>
  <w:style w:type="paragraph" w:customStyle="1" w:styleId="Hesber">
    <w:name w:val="Hesber"/>
    <w:basedOn w:val="a"/>
    <w:rsid w:val="0055706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5706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57068"/>
    <w:rPr>
      <w:vertAlign w:val="superscript"/>
    </w:rPr>
  </w:style>
  <w:style w:type="paragraph" w:customStyle="1" w:styleId="HesberHeading">
    <w:name w:val="Hesber Heading"/>
    <w:basedOn w:val="Hesber"/>
    <w:rsid w:val="00557068"/>
    <w:pPr>
      <w:tabs>
        <w:tab w:val="left" w:pos="624"/>
        <w:tab w:val="left" w:pos="1247"/>
      </w:tabs>
    </w:pPr>
    <w:rPr>
      <w:b/>
      <w:bCs/>
    </w:rPr>
  </w:style>
  <w:style w:type="paragraph" w:customStyle="1" w:styleId="HesberWriters">
    <w:name w:val="Hesber Writers"/>
    <w:basedOn w:val="Hesber"/>
    <w:rsid w:val="00557068"/>
    <w:pPr>
      <w:spacing w:before="120" w:after="120"/>
      <w:ind w:left="1418"/>
      <w:jc w:val="right"/>
    </w:pPr>
    <w:rPr>
      <w:b/>
      <w:bCs/>
    </w:rPr>
  </w:style>
  <w:style w:type="paragraph" w:customStyle="1" w:styleId="Hesber1st">
    <w:name w:val="Hesber 1st"/>
    <w:basedOn w:val="Hesber"/>
    <w:rsid w:val="00557068"/>
    <w:pPr>
      <w:tabs>
        <w:tab w:val="left" w:pos="680"/>
        <w:tab w:val="left" w:pos="1020"/>
      </w:tabs>
      <w:ind w:firstLine="0"/>
    </w:pPr>
  </w:style>
  <w:style w:type="character" w:styleId="a6">
    <w:name w:val="endnote reference"/>
    <w:basedOn w:val="a0"/>
    <w:semiHidden/>
    <w:rsid w:val="00557068"/>
    <w:rPr>
      <w:vertAlign w:val="superscript"/>
    </w:rPr>
  </w:style>
  <w:style w:type="paragraph" w:customStyle="1" w:styleId="TableBlockOutdent">
    <w:name w:val="Table BlockOutdent"/>
    <w:basedOn w:val="TableBlock"/>
    <w:rsid w:val="00557068"/>
    <w:pPr>
      <w:ind w:left="624" w:hanging="624"/>
    </w:pPr>
  </w:style>
  <w:style w:type="paragraph" w:styleId="a7">
    <w:name w:val="header"/>
    <w:basedOn w:val="a"/>
    <w:rsid w:val="00557068"/>
    <w:pPr>
      <w:tabs>
        <w:tab w:val="center" w:pos="4153"/>
        <w:tab w:val="right" w:pos="8306"/>
      </w:tabs>
    </w:pPr>
  </w:style>
  <w:style w:type="paragraph" w:styleId="a8">
    <w:name w:val="footer"/>
    <w:basedOn w:val="a"/>
    <w:rsid w:val="00557068"/>
    <w:pPr>
      <w:tabs>
        <w:tab w:val="center" w:pos="4153"/>
        <w:tab w:val="right" w:pos="8306"/>
      </w:tabs>
    </w:pPr>
  </w:style>
  <w:style w:type="paragraph" w:customStyle="1" w:styleId="HeadDivreiHesber">
    <w:name w:val="Head DivreiHesber"/>
    <w:basedOn w:val="a"/>
    <w:rsid w:val="0055706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5706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5706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table" w:styleId="ad">
    <w:name w:val="Table Grid"/>
    <w:basedOn w:val="a1"/>
    <w:rsid w:val="0055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557068"/>
    <w:rPr>
      <w:rFonts w:asciiTheme="majorHAnsi" w:eastAsiaTheme="majorEastAsia" w:hAnsiTheme="majorHAnsi" w:cs="David"/>
      <w:bCs/>
      <w:sz w:val="32"/>
      <w:szCs w:val="36"/>
    </w:rPr>
  </w:style>
  <w:style w:type="character" w:customStyle="1" w:styleId="20">
    <w:name w:val="כותרת 2 תו"/>
    <w:basedOn w:val="a0"/>
    <w:link w:val="2"/>
    <w:rsid w:val="00557068"/>
    <w:rPr>
      <w:rFonts w:asciiTheme="majorHAnsi" w:eastAsiaTheme="majorEastAsia" w:hAnsiTheme="majorHAnsi" w:cs="David"/>
      <w:bCs/>
      <w:sz w:val="26"/>
      <w:szCs w:val="36"/>
      <w:u w:val="single"/>
    </w:rPr>
  </w:style>
  <w:style w:type="character" w:customStyle="1" w:styleId="30">
    <w:name w:val="כותרת 3 תו"/>
    <w:basedOn w:val="a0"/>
    <w:link w:val="3"/>
    <w:rsid w:val="00557068"/>
    <w:rPr>
      <w:rFonts w:asciiTheme="majorHAnsi" w:eastAsiaTheme="majorEastAsia" w:hAnsiTheme="majorHAnsi" w:cs="David"/>
      <w:sz w:val="24"/>
      <w:szCs w:val="28"/>
      <w:u w:val="double"/>
    </w:rPr>
  </w:style>
  <w:style w:type="character" w:customStyle="1" w:styleId="40">
    <w:name w:val="כותרת 4 תו"/>
    <w:basedOn w:val="a0"/>
    <w:link w:val="4"/>
    <w:uiPriority w:val="9"/>
    <w:rsid w:val="0055706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57068"/>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557068"/>
    <w:pPr>
      <w:widowControl/>
      <w:spacing w:before="120" w:after="120"/>
      <w:outlineLvl w:val="9"/>
    </w:pPr>
    <w:rPr>
      <w:rtl/>
      <w:cs/>
    </w:rPr>
  </w:style>
  <w:style w:type="paragraph" w:styleId="TOC1">
    <w:name w:val="toc 1"/>
    <w:basedOn w:val="a"/>
    <w:next w:val="a"/>
    <w:autoRedefine/>
    <w:uiPriority w:val="39"/>
    <w:unhideWhenUsed/>
    <w:rsid w:val="00557068"/>
    <w:pPr>
      <w:tabs>
        <w:tab w:val="right" w:leader="dot" w:pos="9629"/>
      </w:tabs>
      <w:spacing w:after="100"/>
    </w:pPr>
    <w:rPr>
      <w:bCs/>
      <w:szCs w:val="22"/>
    </w:rPr>
  </w:style>
  <w:style w:type="paragraph" w:styleId="TOC2">
    <w:name w:val="toc 2"/>
    <w:basedOn w:val="a"/>
    <w:next w:val="a"/>
    <w:uiPriority w:val="39"/>
    <w:unhideWhenUsed/>
    <w:rsid w:val="00557068"/>
    <w:pPr>
      <w:tabs>
        <w:tab w:val="right" w:leader="dot" w:pos="9628"/>
      </w:tabs>
      <w:spacing w:after="100"/>
    </w:pPr>
    <w:rPr>
      <w:szCs w:val="22"/>
    </w:rPr>
  </w:style>
  <w:style w:type="character" w:styleId="Hyperlink">
    <w:name w:val="Hyperlink"/>
    <w:basedOn w:val="a0"/>
    <w:uiPriority w:val="99"/>
    <w:unhideWhenUsed/>
    <w:rsid w:val="00557068"/>
    <w:rPr>
      <w:color w:val="0000FF" w:themeColor="hyperlink"/>
      <w:u w:val="single"/>
    </w:rPr>
  </w:style>
  <w:style w:type="paragraph" w:styleId="TOC3">
    <w:name w:val="toc 3"/>
    <w:basedOn w:val="a"/>
    <w:next w:val="a"/>
    <w:uiPriority w:val="39"/>
    <w:unhideWhenUsed/>
    <w:rsid w:val="0055706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5706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57068"/>
    <w:pPr>
      <w:tabs>
        <w:tab w:val="right" w:leader="dot" w:pos="9628"/>
      </w:tabs>
      <w:spacing w:after="100"/>
      <w:ind w:left="567"/>
    </w:pPr>
    <w:rPr>
      <w:szCs w:val="22"/>
    </w:rPr>
  </w:style>
  <w:style w:type="paragraph" w:styleId="TOC6">
    <w:name w:val="toc 6"/>
    <w:basedOn w:val="a"/>
    <w:next w:val="a"/>
    <w:autoRedefine/>
    <w:semiHidden/>
    <w:unhideWhenUsed/>
    <w:rsid w:val="00557068"/>
    <w:pPr>
      <w:spacing w:after="100"/>
      <w:ind w:left="850"/>
    </w:pPr>
  </w:style>
  <w:style w:type="paragraph" w:styleId="TOC7">
    <w:name w:val="toc 7"/>
    <w:basedOn w:val="a"/>
    <w:next w:val="a"/>
    <w:autoRedefine/>
    <w:semiHidden/>
    <w:unhideWhenUsed/>
    <w:rsid w:val="00557068"/>
    <w:pPr>
      <w:spacing w:after="100"/>
      <w:ind w:left="1020"/>
    </w:pPr>
  </w:style>
  <w:style w:type="paragraph" w:styleId="TOC8">
    <w:name w:val="toc 8"/>
    <w:basedOn w:val="a"/>
    <w:next w:val="a"/>
    <w:autoRedefine/>
    <w:semiHidden/>
    <w:unhideWhenUsed/>
    <w:rsid w:val="00557068"/>
    <w:pPr>
      <w:spacing w:after="100"/>
      <w:ind w:left="1190"/>
    </w:pPr>
  </w:style>
  <w:style w:type="paragraph" w:styleId="TOC9">
    <w:name w:val="toc 9"/>
    <w:basedOn w:val="a"/>
    <w:next w:val="a"/>
    <w:autoRedefine/>
    <w:semiHidden/>
    <w:unhideWhenUsed/>
    <w:rsid w:val="00557068"/>
    <w:pPr>
      <w:spacing w:after="100"/>
      <w:ind w:left="1360"/>
    </w:pPr>
  </w:style>
  <w:style w:type="paragraph" w:customStyle="1" w:styleId="TableHead2">
    <w:name w:val="Table Head2"/>
    <w:basedOn w:val="TableHead"/>
    <w:qFormat/>
    <w:rsid w:val="00557068"/>
    <w:pPr>
      <w:outlineLvl w:val="9"/>
    </w:pPr>
  </w:style>
  <w:style w:type="paragraph" w:customStyle="1" w:styleId="TableSideHeading2">
    <w:name w:val="Table SideHeading2"/>
    <w:basedOn w:val="TableSideHeading"/>
    <w:autoRedefine/>
    <w:qFormat/>
    <w:rsid w:val="00557068"/>
    <w:pPr>
      <w:keepLines w:val="0"/>
      <w:outlineLvl w:val="9"/>
    </w:pPr>
  </w:style>
  <w:style w:type="paragraph" w:customStyle="1" w:styleId="0">
    <w:name w:val="סגנון שורה ראשונה:  0  ס''מ"/>
    <w:basedOn w:val="2"/>
    <w:rsid w:val="00557068"/>
    <w:rPr>
      <w:rFonts w:eastAsia="Times New Roman"/>
    </w:rPr>
  </w:style>
  <w:style w:type="paragraph" w:styleId="af">
    <w:name w:val="List Paragraph"/>
    <w:basedOn w:val="a"/>
    <w:uiPriority w:val="34"/>
    <w:qFormat/>
    <w:rsid w:val="00557068"/>
    <w:pPr>
      <w:widowControl/>
      <w:spacing w:line="259" w:lineRule="auto"/>
    </w:pPr>
    <w:rPr>
      <w:rFonts w:asciiTheme="minorHAnsi" w:hAnsiTheme="minorHAnsi"/>
      <w:sz w:val="22"/>
    </w:rPr>
  </w:style>
  <w:style w:type="table" w:styleId="11">
    <w:name w:val="Plain Table 1"/>
    <w:basedOn w:val="a1"/>
    <w:uiPriority w:val="41"/>
    <w:rsid w:val="005570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570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5706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5706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A1CA-C167-4B15-9132-19B5E063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290d5b49-c690-4c6f-bbb9-1e50dab33ee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CCC0A85A-DD0F-4BCB-BE02-161B2A40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279</Words>
  <Characters>1400</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2013-07-04T08:25:00Z</cp:lastPrinted>
  <dcterms:created xsi:type="dcterms:W3CDTF">2015-04-20T09:58:00Z</dcterms:created>
  <dcterms:modified xsi:type="dcterms:W3CDTF">2023-03-09T10:33:00Z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2202670</vt:r8>
  </property>
</Properties>
</file>