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35A2" w:rsidR="002C2E29" w:rsidP="00E635A2" w:rsidRDefault="004033D8" w14:paraId="7F6961A1" w14:textId="77777777">
      <w:pPr>
        <w:jc w:val="right"/>
        <w:rPr>
          <w:rFonts w:cs="David"/>
          <w:b/>
          <w:bCs/>
          <w:sz w:val="20"/>
          <w:szCs w:val="20"/>
        </w:rPr>
      </w:pPr>
      <w:r w:rsidRPr="00E635A2">
        <w:rPr>
          <w:rFonts w:hint="cs" w:cs="David"/>
          <w:sz w:val="20"/>
          <w:szCs w:val="20"/>
          <w:rtl/>
        </w:rPr>
        <w:t xml:space="preserve">מספר פנימי: </w:t>
      </w:r>
      <w:bookmarkStart w:name="LGS_Internal_ID" w:id="0"/>
      <w:r>
        <w:rPr>
          <w:rFonts w:hint="cs" w:cs="David"/>
          <w:sz w:val="20"/>
          <w:szCs w:val="20"/>
          <w:rtl/>
        </w:rPr>
        <w:t>2202661</w:t>
      </w:r>
      <w:bookmarkEnd w:id="0"/>
    </w:p>
    <w:p w:rsidRPr="00DB7060" w:rsidR="00E13C27" w:rsidP="00A443CF" w:rsidRDefault="00E13C27" w14:paraId="7F6961A2" w14:textId="53D639AE">
      <w:pPr>
        <w:pStyle w:val="HeadHatzaotHok"/>
        <w:rPr>
          <w:sz w:val="28"/>
          <w:szCs w:val="28"/>
          <w:rtl/>
        </w:rPr>
      </w:pPr>
      <w:r w:rsidRPr="00DB7060">
        <w:rPr>
          <w:rFonts w:hint="cs"/>
          <w:sz w:val="28"/>
          <w:szCs w:val="28"/>
          <w:rtl/>
        </w:rPr>
        <w:t xml:space="preserve">הכנסת </w:t>
      </w:r>
      <w:bookmarkStart w:name="LGS_Knesset_Num" w:id="1"/>
      <w:r>
        <w:rPr>
          <w:rFonts w:hint="cs"/>
          <w:sz w:val="28"/>
          <w:szCs w:val="28"/>
          <w:rtl/>
        </w:rPr>
        <w:t>העשרים וחמש</w:t>
      </w:r>
      <w:bookmarkEnd w:id="1"/>
    </w:p>
    <w:p w:rsidRPr="00F67051" w:rsidR="00E13C27" w:rsidP="00E13C27" w:rsidRDefault="00E13C27" w14:paraId="7F6961A3" w14:textId="77777777">
      <w:pPr>
        <w:rPr>
          <w:rFonts w:cs="David"/>
          <w:b/>
          <w:bCs/>
          <w:sz w:val="26"/>
          <w:szCs w:val="26"/>
          <w:rtl/>
        </w:rPr>
      </w:pPr>
    </w:p>
    <w:p w:rsidR="00E13C27" w:rsidP="00930EFE" w:rsidRDefault="008F6665" w14:paraId="7F6961A6" w14:textId="77777777">
      <w:pPr>
        <w:pStyle w:val="David"/>
        <w:spacing w:line="360" w:lineRule="auto"/>
        <w:ind w:left="3544"/>
        <w:rPr>
          <w:b/>
          <w:bCs/>
          <w:rtl/>
        </w:rPr>
      </w:pPr>
      <w:bookmarkStart w:name="LGS_Initiators_List" w:id="2"/>
      <w:r>
        <w:rPr>
          <w:b/>
          <w:bCs/>
          <w:rtl/>
        </w:rPr>
        <w:t>יוזם:</w:t>
      </w:r>
      <w:r>
        <w:tab/>
      </w:r>
      <w:r>
        <w:rPr>
          <w:b/>
          <w:bCs/>
          <w:rtl/>
        </w:rPr>
        <w:t xml:space="preserve">      חבר הכנסת</w:t>
      </w:r>
      <w:bookmarkEnd w:id="2"/>
      <w:r w:rsidRPr="00F67051" w:rsidR="00B35784">
        <w:rPr>
          <w:b/>
          <w:bCs/>
        </w:rPr>
        <w:tab/>
      </w:r>
      <w:bookmarkStart w:name="LGS_PM_Names" w:id="3"/>
      <w:r>
        <w:rPr>
          <w:rFonts w:hint="cs"/>
          <w:b/>
          <w:bCs/>
          <w:rtl/>
        </w:rPr>
        <w:t>דוד אמסלם</w:t>
      </w:r>
      <w:bookmarkEnd w:id="3"/>
    </w:p>
    <w:p w:rsidRPr="00CF1AA2" w:rsidR="00E13C27" w:rsidP="0036422C" w:rsidRDefault="007D585A" w14:paraId="7F6961AA" w14:textId="39F9D96B">
      <w:pPr>
        <w:pStyle w:val="David"/>
        <w:spacing w:before="0" w:line="360" w:lineRule="auto"/>
        <w:ind w:left="3544"/>
        <w:rPr>
          <w:b/>
          <w:bCs/>
          <w:sz w:val="16"/>
          <w:szCs w:val="16"/>
          <w:rtl/>
        </w:rPr>
      </w:pPr>
      <w:bookmarkStart w:name="LGS_Join_List" w:id="4"/>
      <w:r>
        <w:rPr>
          <w:rtl/>
        </w:rPr>
        <w:t xml:space="preserve"> </w:t>
      </w:r>
      <w:bookmarkEnd w:id="4"/>
      <w:r w:rsidRPr="00CF1AA2" w:rsidR="002200A1">
        <w:rPr>
          <w:rFonts w:hint="cs"/>
          <w:rtl/>
        </w:rPr>
        <w:tab/>
      </w:r>
      <w:bookmarkStart w:name="LGS_PM_NamesJoin" w:id="5"/>
      <w:r>
        <w:rPr>
          <w:rFonts w:hint="cs"/>
          <w:rtl/>
        </w:rPr>
        <w:t xml:space="preserve"> </w:t>
      </w:r>
      <w:bookmarkEnd w:id="5"/>
    </w:p>
    <w:p w:rsidRPr="00904591" w:rsidR="00904591" w:rsidP="0036422C" w:rsidRDefault="00266D86" w14:paraId="34DB4103" w14:textId="77777777">
      <w:pPr>
        <w:pStyle w:val="David"/>
        <w:spacing w:before="0" w:line="360" w:lineRule="auto"/>
        <w:ind w:left="3544"/>
        <w:rPr>
          <w:sz w:val="4"/>
          <w:szCs w:val="4"/>
          <w:rtl/>
        </w:rPr>
      </w:pPr>
      <w:r>
        <w:t>____</w:t>
      </w:r>
      <w:r w:rsidR="00E374F2">
        <w:t>__</w:t>
      </w:r>
      <w:r>
        <w:t>________________________________________</w:t>
      </w:r>
      <w:r w:rsidRPr="00E06736" w:rsidR="00E06736">
        <w:tab/>
      </w:r>
      <w:r w:rsidRPr="00E06736" w:rsidR="00E13C27">
        <w:rPr>
          <w:rFonts w:hint="cs"/>
          <w:rtl/>
        </w:rPr>
        <w:tab/>
      </w:r>
      <w:r w:rsidRPr="00E06736" w:rsidR="00E13C27">
        <w:rPr>
          <w:rFonts w:hint="cs"/>
          <w:rtl/>
        </w:rPr>
        <w:tab/>
      </w:r>
      <w:r w:rsidRPr="00E06736" w:rsidR="00E13C27">
        <w:rPr>
          <w:rFonts w:hint="cs"/>
          <w:rtl/>
        </w:rPr>
        <w:tab/>
      </w:r>
      <w:r w:rsidR="00904591">
        <w:t xml:space="preserve">           </w:t>
      </w:r>
    </w:p>
    <w:p w:rsidRPr="00E06736" w:rsidR="00E13C27" w:rsidP="00904591" w:rsidRDefault="00904591" w14:paraId="7F6961AB" w14:textId="256138AA">
      <w:pPr>
        <w:pStyle w:val="David"/>
        <w:spacing w:before="0" w:line="240" w:lineRule="auto"/>
        <w:ind w:left="3544"/>
        <w:rPr>
          <w:rtl/>
        </w:rPr>
      </w:pPr>
      <w:r>
        <w:t xml:space="preserve">                                            </w:t>
      </w:r>
      <w:r w:rsidR="008F1308">
        <w:t xml:space="preserve"> </w:t>
      </w:r>
      <w:bookmarkStart w:name="Private_Number" w:id="6"/>
      <w:r>
        <w:rPr>
          <w:rFonts w:hint="cs"/>
          <w:rtl/>
        </w:rPr>
        <w:t>פ/2801/25</w:t>
      </w:r>
      <w:bookmarkEnd w:id="6"/>
    </w:p>
    <w:p w:rsidR="00E13C27" w:rsidP="00E13C27" w:rsidRDefault="00E13C27" w14:paraId="7F6961AC" w14:textId="77777777">
      <w:pPr>
        <w:spacing w:before="0" w:line="360" w:lineRule="auto"/>
        <w:ind w:left="2880" w:firstLine="720"/>
        <w:rPr>
          <w:rFonts w:cs="David"/>
          <w:sz w:val="26"/>
          <w:szCs w:val="26"/>
          <w:rtl/>
        </w:rPr>
      </w:pPr>
    </w:p>
    <w:p w:rsidRPr="00F67051" w:rsidR="00E13C27" w:rsidP="0021633A" w:rsidRDefault="00A443CF" w14:paraId="7F6961AD" w14:textId="77777777">
      <w:pPr>
        <w:pStyle w:val="HeadHatzaotHok"/>
        <w:rPr>
          <w:rtl/>
        </w:rPr>
      </w:pPr>
      <w:bookmarkStart w:name="LGS_Subject" w:id="7"/>
      <w:r xmlns:w="http://schemas.openxmlformats.org/wordprocessingml/2006/main">
        <w:rPr xmlns:w="http://schemas.openxmlformats.org/wordprocessingml/2006/main">
          <w:rFonts w:hint="cs"/>
          <w:rtl/>
        </w:rPr>
        <w:t xml:space="preserve">הצעת חוק-יסוד: הממשלה (תיקון – איסור חקירה פלילית נגד ראש הממשלה במהלך תקופת כהונתו)</w:t>
      </w:r>
      <w:bookmarkEnd w:id="7"/>
    </w:p>
    <w:p w:rsidR="00E13C27" w:rsidP="0021633A" w:rsidRDefault="00E13C27" w14:paraId="7F6961AE" w14:textId="77777777">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Pr="00D63428" w:rsidR="00EC19F5" w:rsidTr="00BE23CB" w14:paraId="6524AAD8" w14:textId="77777777">
        <w:trPr>
          <w:cantSplit/>
        </w:trPr>
        <w:tc>
          <w:tcPr>
            <w:tcW w:w="1871" w:type="dxa"/>
          </w:tcPr>
          <w:p w:rsidRPr="00D63428" w:rsidR="00EC19F5" w:rsidP="007D38FD" w:rsidRDefault="00EC19F5" w14:paraId="4F04636D" w14:textId="77777777">
            <w:pPr>
              <w:pStyle w:val="TableSideHeading"/>
              <w:ind w:right="0"/>
              <w:rPr>
                <w:sz w:val="26"/>
                <w:rtl/>
              </w:rPr>
            </w:pPr>
            <w:r>
              <w:rPr>
                <w:rFonts w:hint="cs"/>
                <w:sz w:val="26"/>
                <w:rtl/>
              </w:rPr>
              <w:t>תיקון סעיף 17</w:t>
            </w:r>
          </w:p>
        </w:tc>
        <w:tc>
          <w:tcPr>
            <w:tcW w:w="624" w:type="dxa"/>
          </w:tcPr>
          <w:p w:rsidRPr="00D63428" w:rsidR="00EC19F5" w:rsidP="007D38FD" w:rsidRDefault="00EC19F5" w14:paraId="766732CC" w14:textId="77777777">
            <w:pPr>
              <w:pStyle w:val="TableText"/>
              <w:ind w:right="0"/>
              <w:jc w:val="both"/>
              <w:rPr>
                <w:sz w:val="26"/>
                <w:rtl/>
              </w:rPr>
            </w:pPr>
            <w:r>
              <w:rPr>
                <w:rFonts w:hint="cs"/>
                <w:sz w:val="26"/>
                <w:rtl/>
              </w:rPr>
              <w:t>1.</w:t>
            </w:r>
          </w:p>
        </w:tc>
        <w:tc>
          <w:tcPr>
            <w:tcW w:w="7146" w:type="dxa"/>
            <w:gridSpan w:val="2"/>
          </w:tcPr>
          <w:p w:rsidRPr="00D63428" w:rsidR="00EC19F5" w:rsidP="007D38FD" w:rsidRDefault="00EC19F5" w14:paraId="7014B305" w14:textId="77777777">
            <w:pPr>
              <w:pStyle w:val="TableBlock"/>
              <w:contextualSpacing/>
              <w:rPr>
                <w:sz w:val="26"/>
                <w:rtl/>
              </w:rPr>
            </w:pPr>
            <w:r w:rsidRPr="00D63428">
              <w:rPr>
                <w:rFonts w:hint="cs"/>
                <w:sz w:val="26"/>
                <w:rtl/>
              </w:rPr>
              <w:t>בחוק-יסוד: הממשלה</w:t>
            </w:r>
            <w:r>
              <w:rPr>
                <w:rStyle w:val="a6"/>
                <w:sz w:val="26"/>
                <w:rtl/>
              </w:rPr>
              <w:footnoteReference w:id="2"/>
            </w:r>
            <w:r w:rsidRPr="00D63428">
              <w:rPr>
                <w:rFonts w:hint="cs"/>
                <w:sz w:val="26"/>
                <w:rtl/>
              </w:rPr>
              <w:t>, בסעיף 17, אחרי סעיף קטן (ב) יבוא:</w:t>
            </w:r>
          </w:p>
        </w:tc>
      </w:tr>
      <w:tr w:rsidRPr="00D63428" w:rsidR="00EC19F5" w:rsidTr="00BE23CB" w14:paraId="3D64732E" w14:textId="77777777">
        <w:trPr>
          <w:cantSplit/>
        </w:trPr>
        <w:tc>
          <w:tcPr>
            <w:tcW w:w="1871" w:type="dxa"/>
          </w:tcPr>
          <w:p w:rsidRPr="00D63428" w:rsidR="00EC19F5" w:rsidP="007D38FD" w:rsidRDefault="00EC19F5" w14:paraId="4ABB0D30" w14:textId="77777777">
            <w:pPr>
              <w:pStyle w:val="TableSideHeading"/>
              <w:ind w:right="0"/>
              <w:rPr>
                <w:sz w:val="26"/>
              </w:rPr>
            </w:pPr>
          </w:p>
        </w:tc>
        <w:tc>
          <w:tcPr>
            <w:tcW w:w="624" w:type="dxa"/>
          </w:tcPr>
          <w:p w:rsidRPr="00D63428" w:rsidR="00EC19F5" w:rsidP="007D38FD" w:rsidRDefault="00EC19F5" w14:paraId="04F5D9C9" w14:textId="77777777">
            <w:pPr>
              <w:pStyle w:val="TableText"/>
              <w:ind w:right="0"/>
              <w:jc w:val="both"/>
              <w:rPr>
                <w:sz w:val="26"/>
                <w:rtl/>
              </w:rPr>
            </w:pPr>
          </w:p>
        </w:tc>
        <w:tc>
          <w:tcPr>
            <w:tcW w:w="624" w:type="dxa"/>
          </w:tcPr>
          <w:p w:rsidRPr="00D63428" w:rsidR="00EC19F5" w:rsidP="007D38FD" w:rsidRDefault="00EC19F5" w14:paraId="66B0A459" w14:textId="77777777">
            <w:pPr>
              <w:pStyle w:val="TableText"/>
              <w:ind w:right="0"/>
              <w:jc w:val="both"/>
              <w:rPr>
                <w:rtl/>
              </w:rPr>
            </w:pPr>
            <w:r>
              <w:rPr>
                <w:rFonts w:hint="cs"/>
                <w:sz w:val="26"/>
                <w:rtl/>
              </w:rPr>
              <w:t>"(ב1)</w:t>
            </w:r>
          </w:p>
        </w:tc>
        <w:tc>
          <w:tcPr>
            <w:tcW w:w="6522" w:type="dxa"/>
          </w:tcPr>
          <w:p w:rsidRPr="00D63428" w:rsidR="00EC19F5" w:rsidP="00F84F5C" w:rsidRDefault="00EC19F5" w14:paraId="219DCA3E" w14:textId="0E16B789">
            <w:pPr>
              <w:pStyle w:val="TableBlock"/>
              <w:rPr>
                <w:sz w:val="26"/>
                <w:rtl/>
              </w:rPr>
            </w:pPr>
            <w:r>
              <w:rPr>
                <w:rFonts w:hint="cs"/>
                <w:sz w:val="26"/>
                <w:rtl/>
              </w:rPr>
              <w:t>(1)</w:t>
            </w:r>
            <w:r>
              <w:rPr>
                <w:sz w:val="26"/>
                <w:rtl/>
              </w:rPr>
              <w:tab/>
            </w:r>
            <w:r w:rsidRPr="00D63428">
              <w:rPr>
                <w:rFonts w:hint="cs"/>
                <w:sz w:val="26"/>
                <w:rtl/>
              </w:rPr>
              <w:t xml:space="preserve">לא יאשר היועץ המשפטי לממשלה לחקור באזהרה ראש ממשלה מכהן, </w:t>
            </w:r>
            <w:r>
              <w:rPr>
                <w:rFonts w:hint="cs"/>
                <w:sz w:val="26"/>
                <w:rtl/>
              </w:rPr>
              <w:t xml:space="preserve">אלא בשל </w:t>
            </w:r>
            <w:r w:rsidRPr="00D63428">
              <w:rPr>
                <w:rFonts w:hint="cs"/>
                <w:sz w:val="26"/>
                <w:rtl/>
              </w:rPr>
              <w:t xml:space="preserve">עבירת </w:t>
            </w:r>
            <w:r>
              <w:rPr>
                <w:rFonts w:hint="cs"/>
                <w:sz w:val="26"/>
                <w:rtl/>
              </w:rPr>
              <w:t>מין או</w:t>
            </w:r>
            <w:r w:rsidRPr="00D63428">
              <w:rPr>
                <w:rFonts w:hint="cs"/>
                <w:sz w:val="26"/>
                <w:rtl/>
              </w:rPr>
              <w:t xml:space="preserve"> אלימות</w:t>
            </w:r>
            <w:r w:rsidR="00F84F5C">
              <w:rPr>
                <w:rFonts w:hint="cs"/>
                <w:sz w:val="26"/>
                <w:rtl/>
              </w:rPr>
              <w:t>,</w:t>
            </w:r>
            <w:r>
              <w:rPr>
                <w:rFonts w:hint="cs"/>
                <w:sz w:val="26"/>
                <w:rtl/>
              </w:rPr>
              <w:t xml:space="preserve"> </w:t>
            </w:r>
            <w:r w:rsidR="00F84F5C">
              <w:rPr>
                <w:rFonts w:hint="cs"/>
                <w:sz w:val="26"/>
                <w:rtl/>
              </w:rPr>
              <w:t xml:space="preserve">עבירת </w:t>
            </w:r>
            <w:r>
              <w:rPr>
                <w:rFonts w:hint="cs"/>
                <w:sz w:val="26"/>
                <w:rtl/>
              </w:rPr>
              <w:t>ביטחון</w:t>
            </w:r>
            <w:r w:rsidRPr="00D63428">
              <w:rPr>
                <w:rFonts w:hint="cs"/>
                <w:sz w:val="26"/>
                <w:rtl/>
              </w:rPr>
              <w:t xml:space="preserve"> או </w:t>
            </w:r>
            <w:r w:rsidR="00F84F5C">
              <w:rPr>
                <w:rFonts w:hint="cs"/>
                <w:sz w:val="26"/>
                <w:rtl/>
              </w:rPr>
              <w:t xml:space="preserve">עבירת </w:t>
            </w:r>
            <w:r w:rsidRPr="00D63428">
              <w:rPr>
                <w:rFonts w:hint="cs"/>
                <w:sz w:val="26"/>
                <w:rtl/>
              </w:rPr>
              <w:t xml:space="preserve">סמים, </w:t>
            </w:r>
            <w:r>
              <w:rPr>
                <w:rFonts w:hint="cs"/>
                <w:sz w:val="26"/>
                <w:rtl/>
              </w:rPr>
              <w:t>או</w:t>
            </w:r>
            <w:r w:rsidRPr="00D63428">
              <w:rPr>
                <w:rFonts w:hint="cs"/>
                <w:sz w:val="26"/>
                <w:rtl/>
              </w:rPr>
              <w:t xml:space="preserve"> אם דחיית החקירה עלולה לגרום לנזק ביטחוני או נזק כלכלי משמעותי; </w:t>
            </w:r>
            <w:r>
              <w:rPr>
                <w:rFonts w:hint="cs"/>
                <w:sz w:val="26"/>
                <w:rtl/>
              </w:rPr>
              <w:t xml:space="preserve">לעניין סעיף זה </w:t>
            </w:r>
            <w:r>
              <w:rPr>
                <w:rFonts w:hint="eastAsia"/>
                <w:sz w:val="26"/>
                <w:rtl/>
              </w:rPr>
              <w:t>–</w:t>
            </w:r>
            <w:r>
              <w:rPr>
                <w:rFonts w:hint="cs"/>
                <w:sz w:val="26"/>
                <w:rtl/>
              </w:rPr>
              <w:t xml:space="preserve"> </w:t>
            </w:r>
          </w:p>
        </w:tc>
      </w:tr>
      <w:tr w:rsidRPr="00D63428" w:rsidR="00EC19F5" w:rsidTr="00BE23CB" w14:paraId="100BBD0F" w14:textId="77777777">
        <w:trPr>
          <w:cantSplit/>
        </w:trPr>
        <w:tc>
          <w:tcPr>
            <w:tcW w:w="1871" w:type="dxa"/>
          </w:tcPr>
          <w:p w:rsidRPr="00D63428" w:rsidR="00EC19F5" w:rsidP="007D38FD" w:rsidRDefault="00EC19F5" w14:paraId="51A39090" w14:textId="77777777">
            <w:pPr>
              <w:pStyle w:val="TableSideHeading"/>
              <w:ind w:right="0"/>
              <w:rPr>
                <w:sz w:val="26"/>
              </w:rPr>
            </w:pPr>
          </w:p>
        </w:tc>
        <w:tc>
          <w:tcPr>
            <w:tcW w:w="624" w:type="dxa"/>
          </w:tcPr>
          <w:p w:rsidRPr="00D63428" w:rsidR="00EC19F5" w:rsidP="007D38FD" w:rsidRDefault="00EC19F5" w14:paraId="0AEDD0E3" w14:textId="77777777">
            <w:pPr>
              <w:pStyle w:val="TableText"/>
              <w:rPr>
                <w:rtl/>
              </w:rPr>
            </w:pPr>
          </w:p>
        </w:tc>
        <w:tc>
          <w:tcPr>
            <w:tcW w:w="624" w:type="dxa"/>
          </w:tcPr>
          <w:p w:rsidR="00EC19F5" w:rsidP="007D38FD" w:rsidRDefault="00EC19F5" w14:paraId="60734F82" w14:textId="77777777">
            <w:pPr>
              <w:pStyle w:val="TableText"/>
              <w:ind w:right="0"/>
              <w:jc w:val="both"/>
              <w:rPr>
                <w:sz w:val="26"/>
                <w:rtl/>
              </w:rPr>
            </w:pPr>
          </w:p>
        </w:tc>
        <w:tc>
          <w:tcPr>
            <w:tcW w:w="6522" w:type="dxa"/>
          </w:tcPr>
          <w:p w:rsidR="00EC19F5" w:rsidP="007D38FD" w:rsidRDefault="00EC19F5" w14:paraId="42BE0D29" w14:textId="77777777">
            <w:pPr>
              <w:pStyle w:val="TableBlockOutdent"/>
              <w:rPr>
                <w:rtl/>
              </w:rPr>
            </w:pPr>
            <w:r>
              <w:rPr>
                <w:rFonts w:hint="cs"/>
                <w:rtl/>
              </w:rPr>
              <w:t xml:space="preserve">"עבירת מין או אלימות" </w:t>
            </w:r>
            <w:r>
              <w:rPr>
                <w:rtl/>
              </w:rPr>
              <w:t>–</w:t>
            </w:r>
            <w:r>
              <w:rPr>
                <w:rFonts w:hint="cs"/>
                <w:rtl/>
              </w:rPr>
              <w:t xml:space="preserve"> כהגדרתה בחוק זכויות נפגעי עבירה, התשס"א–2001</w:t>
            </w:r>
            <w:r>
              <w:rPr>
                <w:rStyle w:val="a6"/>
                <w:sz w:val="26"/>
                <w:rtl/>
              </w:rPr>
              <w:footnoteReference w:id="3"/>
            </w:r>
            <w:r>
              <w:rPr>
                <w:rFonts w:hint="cs"/>
                <w:rtl/>
              </w:rPr>
              <w:t>;</w:t>
            </w:r>
          </w:p>
        </w:tc>
      </w:tr>
      <w:tr w:rsidRPr="00D63428" w:rsidR="00EC19F5" w:rsidTr="00BE23CB" w14:paraId="054A8C5C" w14:textId="77777777">
        <w:trPr>
          <w:cantSplit/>
        </w:trPr>
        <w:tc>
          <w:tcPr>
            <w:tcW w:w="1871" w:type="dxa"/>
          </w:tcPr>
          <w:p w:rsidRPr="00D63428" w:rsidR="00EC19F5" w:rsidP="007D38FD" w:rsidRDefault="00EC19F5" w14:paraId="2D608FCA" w14:textId="77777777">
            <w:pPr>
              <w:pStyle w:val="TableSideHeading"/>
              <w:ind w:right="0"/>
              <w:rPr>
                <w:sz w:val="26"/>
              </w:rPr>
            </w:pPr>
          </w:p>
        </w:tc>
        <w:tc>
          <w:tcPr>
            <w:tcW w:w="624" w:type="dxa"/>
          </w:tcPr>
          <w:p w:rsidRPr="00D63428" w:rsidR="00EC19F5" w:rsidP="007D38FD" w:rsidRDefault="00EC19F5" w14:paraId="6C78F9B8" w14:textId="77777777">
            <w:pPr>
              <w:pStyle w:val="TableText"/>
              <w:rPr>
                <w:rtl/>
              </w:rPr>
            </w:pPr>
          </w:p>
        </w:tc>
        <w:tc>
          <w:tcPr>
            <w:tcW w:w="624" w:type="dxa"/>
          </w:tcPr>
          <w:p w:rsidR="00EC19F5" w:rsidP="007D38FD" w:rsidRDefault="00EC19F5" w14:paraId="7810F0AA" w14:textId="77777777">
            <w:pPr>
              <w:pStyle w:val="TableText"/>
              <w:ind w:right="0"/>
              <w:jc w:val="both"/>
              <w:rPr>
                <w:sz w:val="26"/>
                <w:rtl/>
              </w:rPr>
            </w:pPr>
          </w:p>
        </w:tc>
        <w:tc>
          <w:tcPr>
            <w:tcW w:w="6522" w:type="dxa"/>
          </w:tcPr>
          <w:p w:rsidR="00EC19F5" w:rsidP="00F84F5C" w:rsidRDefault="00F84F5C" w14:paraId="3CEDAE75" w14:textId="0AE68383">
            <w:pPr>
              <w:pStyle w:val="TableBlockOutdent"/>
              <w:rPr>
                <w:rtl/>
              </w:rPr>
            </w:pPr>
            <w:r>
              <w:rPr>
                <w:rFonts w:hint="cs"/>
                <w:rtl/>
              </w:rPr>
              <w:t>"</w:t>
            </w:r>
            <w:r w:rsidR="00EC19F5">
              <w:rPr>
                <w:rFonts w:hint="cs"/>
                <w:rtl/>
              </w:rPr>
              <w:t xml:space="preserve">עבירת ביטחון" </w:t>
            </w:r>
            <w:r w:rsidR="00EC19F5">
              <w:rPr>
                <w:rtl/>
              </w:rPr>
              <w:t>–</w:t>
            </w:r>
            <w:r w:rsidR="00EC19F5">
              <w:rPr>
                <w:rFonts w:hint="cs"/>
                <w:rtl/>
              </w:rPr>
              <w:t xml:space="preserve"> כמשמעותה בסעיף 35 לחוק סדר הדין הפלילי (סמכויות אכיפה </w:t>
            </w:r>
            <w:r w:rsidR="00EC19F5">
              <w:rPr>
                <w:rtl/>
              </w:rPr>
              <w:t>–</w:t>
            </w:r>
            <w:r w:rsidR="00EC19F5">
              <w:rPr>
                <w:rFonts w:hint="cs"/>
                <w:rtl/>
              </w:rPr>
              <w:t xml:space="preserve"> מעצרים), התשנ"ו–1996</w:t>
            </w:r>
            <w:r w:rsidR="00EC19F5">
              <w:rPr>
                <w:rStyle w:val="a6"/>
                <w:sz w:val="26"/>
                <w:rtl/>
              </w:rPr>
              <w:footnoteReference w:id="4"/>
            </w:r>
            <w:r w:rsidR="00EC19F5">
              <w:rPr>
                <w:rFonts w:hint="cs"/>
                <w:rtl/>
              </w:rPr>
              <w:t xml:space="preserve">, או </w:t>
            </w:r>
            <w:r>
              <w:rPr>
                <w:rFonts w:hint="cs"/>
                <w:rtl/>
              </w:rPr>
              <w:t>עביר</w:t>
            </w:r>
            <w:r w:rsidR="00EC19F5">
              <w:rPr>
                <w:rFonts w:hint="cs"/>
                <w:rtl/>
              </w:rPr>
              <w:t xml:space="preserve">ת טרור </w:t>
            </w:r>
            <w:r>
              <w:rPr>
                <w:rFonts w:hint="cs"/>
                <w:rtl/>
              </w:rPr>
              <w:t xml:space="preserve">כהגדרתה </w:t>
            </w:r>
            <w:r w:rsidR="00EC19F5">
              <w:rPr>
                <w:rFonts w:hint="cs"/>
                <w:rtl/>
              </w:rPr>
              <w:t>בחוק המאבק בטרור, התשע"ו–2016</w:t>
            </w:r>
            <w:r w:rsidR="00EC19F5">
              <w:rPr>
                <w:rStyle w:val="a6"/>
                <w:sz w:val="26"/>
                <w:rtl/>
              </w:rPr>
              <w:footnoteReference w:id="5"/>
            </w:r>
            <w:r w:rsidR="00EC19F5">
              <w:rPr>
                <w:rFonts w:hint="cs"/>
                <w:rtl/>
              </w:rPr>
              <w:t>;</w:t>
            </w:r>
          </w:p>
        </w:tc>
      </w:tr>
      <w:tr w:rsidRPr="00D63428" w:rsidR="00EC19F5" w:rsidTr="00BE23CB" w14:paraId="2F31CD72" w14:textId="77777777">
        <w:trPr>
          <w:cantSplit/>
        </w:trPr>
        <w:tc>
          <w:tcPr>
            <w:tcW w:w="1871" w:type="dxa"/>
          </w:tcPr>
          <w:p w:rsidRPr="00D63428" w:rsidR="00EC19F5" w:rsidP="007D38FD" w:rsidRDefault="00EC19F5" w14:paraId="17F74E56" w14:textId="77777777">
            <w:pPr>
              <w:pStyle w:val="TableSideHeading"/>
              <w:ind w:right="0"/>
              <w:rPr>
                <w:sz w:val="26"/>
              </w:rPr>
            </w:pPr>
          </w:p>
        </w:tc>
        <w:tc>
          <w:tcPr>
            <w:tcW w:w="624" w:type="dxa"/>
          </w:tcPr>
          <w:p w:rsidRPr="00D63428" w:rsidR="00EC19F5" w:rsidP="007D38FD" w:rsidRDefault="00EC19F5" w14:paraId="0584F377" w14:textId="77777777">
            <w:pPr>
              <w:pStyle w:val="TableText"/>
              <w:rPr>
                <w:rtl/>
              </w:rPr>
            </w:pPr>
          </w:p>
        </w:tc>
        <w:tc>
          <w:tcPr>
            <w:tcW w:w="624" w:type="dxa"/>
          </w:tcPr>
          <w:p w:rsidR="00EC19F5" w:rsidP="007D38FD" w:rsidRDefault="00EC19F5" w14:paraId="587CD4E0" w14:textId="77777777">
            <w:pPr>
              <w:pStyle w:val="TableText"/>
              <w:ind w:right="0"/>
              <w:jc w:val="both"/>
              <w:rPr>
                <w:sz w:val="26"/>
                <w:rtl/>
              </w:rPr>
            </w:pPr>
          </w:p>
        </w:tc>
        <w:tc>
          <w:tcPr>
            <w:tcW w:w="6522" w:type="dxa"/>
          </w:tcPr>
          <w:p w:rsidR="00EC19F5" w:rsidP="007D38FD" w:rsidRDefault="00EC19F5" w14:paraId="47FF7B81" w14:textId="3DBB52DD">
            <w:pPr>
              <w:pStyle w:val="TableBlockOutdent"/>
              <w:rPr>
                <w:rtl/>
              </w:rPr>
            </w:pPr>
            <w:r>
              <w:rPr>
                <w:rFonts w:hint="cs"/>
                <w:rtl/>
              </w:rPr>
              <w:t xml:space="preserve">"עבירת סמים" </w:t>
            </w:r>
            <w:r>
              <w:rPr>
                <w:rtl/>
              </w:rPr>
              <w:t>–</w:t>
            </w:r>
            <w:r>
              <w:rPr>
                <w:rFonts w:hint="cs"/>
                <w:rtl/>
              </w:rPr>
              <w:t xml:space="preserve"> עבירה לפי פרק ג' ל</w:t>
            </w:r>
            <w:r w:rsidR="00F84F5C">
              <w:rPr>
                <w:rtl/>
              </w:rPr>
              <w:t>פקודת הסמים המסוכנים</w:t>
            </w:r>
            <w:r w:rsidRPr="00CA5AA1">
              <w:rPr>
                <w:rtl/>
              </w:rPr>
              <w:t xml:space="preserve"> </w:t>
            </w:r>
            <w:r w:rsidR="00F84F5C">
              <w:rPr>
                <w:rFonts w:hint="cs"/>
                <w:rtl/>
              </w:rPr>
              <w:t xml:space="preserve">[נוסח חדש], </w:t>
            </w:r>
            <w:r>
              <w:rPr>
                <w:rFonts w:hint="cs"/>
                <w:rtl/>
              </w:rPr>
              <w:t>ה</w:t>
            </w:r>
            <w:r w:rsidRPr="00CA5AA1">
              <w:rPr>
                <w:rtl/>
              </w:rPr>
              <w:t>תשל"ג</w:t>
            </w:r>
            <w:r>
              <w:rPr>
                <w:rFonts w:hint="cs"/>
                <w:rtl/>
              </w:rPr>
              <w:t>–</w:t>
            </w:r>
            <w:r w:rsidRPr="00CA5AA1">
              <w:rPr>
                <w:rtl/>
              </w:rPr>
              <w:t>1973</w:t>
            </w:r>
            <w:r>
              <w:rPr>
                <w:rStyle w:val="a6"/>
                <w:sz w:val="26"/>
                <w:rtl/>
              </w:rPr>
              <w:footnoteReference w:id="6"/>
            </w:r>
            <w:r>
              <w:rPr>
                <w:rFonts w:hint="cs"/>
                <w:rtl/>
              </w:rPr>
              <w:t>.</w:t>
            </w:r>
          </w:p>
        </w:tc>
      </w:tr>
      <w:tr w:rsidRPr="00D63428" w:rsidR="00EC19F5" w:rsidTr="00BE23CB" w14:paraId="32FFADF3" w14:textId="77777777">
        <w:trPr>
          <w:cantSplit/>
        </w:trPr>
        <w:tc>
          <w:tcPr>
            <w:tcW w:w="1871" w:type="dxa"/>
          </w:tcPr>
          <w:p w:rsidR="00EC19F5" w:rsidP="007D38FD" w:rsidRDefault="00EC19F5" w14:paraId="24A35021" w14:textId="77777777">
            <w:pPr>
              <w:pStyle w:val="TableSideHeading"/>
              <w:ind w:right="0"/>
              <w:rPr>
                <w:sz w:val="26"/>
                <w:rtl/>
              </w:rPr>
            </w:pPr>
          </w:p>
        </w:tc>
        <w:tc>
          <w:tcPr>
            <w:tcW w:w="624" w:type="dxa"/>
          </w:tcPr>
          <w:p w:rsidR="00EC19F5" w:rsidP="007D38FD" w:rsidRDefault="00EC19F5" w14:paraId="2845C0EE" w14:textId="77777777">
            <w:pPr>
              <w:pStyle w:val="TableText"/>
              <w:rPr>
                <w:rtl/>
              </w:rPr>
            </w:pPr>
          </w:p>
        </w:tc>
        <w:tc>
          <w:tcPr>
            <w:tcW w:w="624" w:type="dxa"/>
          </w:tcPr>
          <w:p w:rsidR="00EC19F5" w:rsidP="007D38FD" w:rsidRDefault="00EC19F5" w14:paraId="1707341E" w14:textId="77777777">
            <w:pPr>
              <w:pStyle w:val="TableText"/>
              <w:ind w:right="0"/>
              <w:jc w:val="both"/>
              <w:rPr>
                <w:sz w:val="26"/>
                <w:rtl/>
              </w:rPr>
            </w:pPr>
          </w:p>
        </w:tc>
        <w:tc>
          <w:tcPr>
            <w:tcW w:w="6522" w:type="dxa"/>
          </w:tcPr>
          <w:p w:rsidR="00EC19F5" w:rsidP="007D38FD" w:rsidRDefault="00EC19F5" w14:paraId="0A672B95" w14:textId="1752D890">
            <w:pPr>
              <w:pStyle w:val="TableBlock"/>
              <w:rPr>
                <w:sz w:val="26"/>
                <w:rtl/>
              </w:rPr>
            </w:pPr>
            <w:r>
              <w:rPr>
                <w:rFonts w:hint="cs"/>
                <w:sz w:val="26"/>
                <w:rtl/>
              </w:rPr>
              <w:t>(2)</w:t>
            </w:r>
            <w:r>
              <w:rPr>
                <w:sz w:val="26"/>
                <w:rtl/>
              </w:rPr>
              <w:tab/>
            </w:r>
            <w:r w:rsidRPr="00D63428">
              <w:rPr>
                <w:rFonts w:hint="cs"/>
                <w:sz w:val="26"/>
                <w:rtl/>
              </w:rPr>
              <w:t xml:space="preserve">קבע </w:t>
            </w:r>
            <w:r>
              <w:rPr>
                <w:rFonts w:hint="cs"/>
                <w:sz w:val="26"/>
                <w:rtl/>
              </w:rPr>
              <w:t xml:space="preserve">היועץ המשפטי לממשלה </w:t>
            </w:r>
            <w:r w:rsidRPr="00D63428">
              <w:rPr>
                <w:rFonts w:hint="cs"/>
                <w:sz w:val="26"/>
                <w:rtl/>
              </w:rPr>
              <w:t xml:space="preserve">כי עבירה פלונית לא נחקרה עקב דחיית החקירה </w:t>
            </w:r>
            <w:r>
              <w:rPr>
                <w:rFonts w:hint="cs"/>
                <w:sz w:val="26"/>
                <w:rtl/>
              </w:rPr>
              <w:t>כאמור</w:t>
            </w:r>
            <w:r w:rsidRPr="00D63428">
              <w:rPr>
                <w:rFonts w:hint="cs"/>
                <w:sz w:val="26"/>
                <w:rtl/>
              </w:rPr>
              <w:t>, לא תבוא תקופת הדחייה במניין תקופת ההתיישנות של אותה עבירה</w:t>
            </w:r>
            <w:r>
              <w:rPr>
                <w:rFonts w:hint="cs"/>
                <w:sz w:val="26"/>
                <w:rtl/>
              </w:rPr>
              <w:t>.</w:t>
            </w:r>
            <w:r w:rsidR="00F84F5C">
              <w:rPr>
                <w:rFonts w:hint="cs"/>
                <w:sz w:val="26"/>
                <w:rtl/>
              </w:rPr>
              <w:t>"</w:t>
            </w:r>
          </w:p>
        </w:tc>
      </w:tr>
    </w:tbl>
    <w:p w:rsidR="00AC3E88" w:rsidP="002D1EE3" w:rsidRDefault="00AC3E88" w14:paraId="71155F4A" w14:textId="77777777">
      <w:pPr>
        <w:pStyle w:val="HeadDivreiHesber"/>
        <w:rPr>
          <w:rtl/>
        </w:rPr>
      </w:pPr>
      <w:r>
        <w:rPr>
          <w:rtl/>
        </w:rPr>
        <w:br w:type="page"/>
      </w:r>
    </w:p>
    <w:p w:rsidR="002D1EE3" w:rsidP="002D1EE3" w:rsidRDefault="002D1EE3" w14:paraId="7F6961CA" w14:textId="35E0186A">
      <w:pPr>
        <w:pStyle w:val="HeadDivreiHesber"/>
        <w:rPr>
          <w:rtl/>
        </w:rPr>
      </w:pPr>
      <w:bookmarkStart w:name="_GoBack" w:id="8"/>
      <w:bookmarkEnd w:id="8"/>
      <w:r w:rsidRPr="0027450A">
        <w:rPr>
          <w:rFonts w:hint="cs"/>
          <w:rtl/>
        </w:rPr>
        <w:lastRenderedPageBreak/>
        <w:t>דברי הסבר</w:t>
      </w:r>
    </w:p>
    <w:p w:rsidRPr="009C2A5B" w:rsidR="00EC19F5" w:rsidP="009C2A5B" w:rsidRDefault="00EC19F5" w14:paraId="3D6B8DF5" w14:textId="77777777">
      <w:pPr>
        <w:pStyle w:val="Hesber"/>
        <w:rPr>
          <w:rtl/>
        </w:rPr>
      </w:pPr>
      <w:r w:rsidRPr="009C2A5B">
        <w:rPr>
          <w:rFonts w:hint="cs"/>
          <w:rtl/>
        </w:rPr>
        <w:t>ראש ממשלת ישראל הוא אחד התפקידים המורכבים ביותר. עליו לקבל החלטות הרות גורל בסוגיות המשפיעות על הציבור כולו, ובכלל זה מהלכים מדיניים, ביטחוניים, כלכליים וחברתיים. משכך, עליו להיות מכוון כולו לעיסוק בעניינים אלה.</w:t>
      </w:r>
    </w:p>
    <w:p w:rsidRPr="009C2A5B" w:rsidR="00EC19F5" w:rsidP="009C2A5B" w:rsidRDefault="00EC19F5" w14:paraId="6231D395" w14:textId="77777777">
      <w:pPr>
        <w:pStyle w:val="Hesber"/>
        <w:rPr>
          <w:rtl/>
        </w:rPr>
      </w:pPr>
      <w:r w:rsidRPr="009C2A5B">
        <w:rPr>
          <w:rFonts w:hint="cs"/>
          <w:rtl/>
        </w:rPr>
        <w:t xml:space="preserve">בשנים האחרונות היו מספר מקרים בהם היו ראשי ממשלה טרודים בחקירות שנפתחו נגדם בשל עבירות שונות, לעתים אף בעניינים שהתרחשו עוד בטרם החלו לכהן. כדי להימנע מכך, מוצע לקבוע כי ככלל, ייחקר ראש הממשלה באזהרה במהלך תקופת כהונתו. לעיקרון זה יהיו שני סייגים. ראשית, ניתן יהיה לחקור אותו בעבירות ביטחון, אלימות, מין או סמים, שהן עבירות חמורות במיוחד. שנית, ניתן יהיה לחקור אותו גם בעבירות אחרות אם ההימנעות מחקירה במהלך תקופת הכהונה עלולה לגרום נזק ביטחוני או נזק כלכלי משמעותי, ועל כן יש דחיפות בקיומה גם במהלך הכהונה. </w:t>
      </w:r>
    </w:p>
    <w:p w:rsidR="00EC19F5" w:rsidP="009C2A5B" w:rsidRDefault="00EC19F5" w14:paraId="2C8EE454" w14:textId="77777777">
      <w:pPr>
        <w:pStyle w:val="Hesber"/>
        <w:rPr>
          <w:rtl/>
        </w:rPr>
      </w:pPr>
      <w:r w:rsidRPr="009C2A5B">
        <w:rPr>
          <w:rFonts w:hint="cs"/>
          <w:rtl/>
        </w:rPr>
        <w:t xml:space="preserve">בצד זאת, מאחר שאין זה ראוי כי ראש הממשלה לא ייתן את הדין גם על עבירות אחרות, מוצע לקבוע כי תקופת כהונתו של ראש הממשלה לא תבוא במניין תקופת ההתיישנות של העבירה, וכך ניתן יהיה לחקור אותו בעניינן לאחר תום תקופת כהונתו. </w:t>
      </w:r>
    </w:p>
    <w:p w:rsidR="009C2A5B" w:rsidP="009C2A5B" w:rsidRDefault="009C2A5B" w14:paraId="56A618A8" w14:textId="4F775263">
      <w:pPr>
        <w:pStyle w:val="Hesber"/>
        <w:rPr>
          <w:rtl/>
        </w:rPr>
      </w:pPr>
      <w:r>
        <w:rPr>
          <w:rFonts w:hint="cs"/>
          <w:rtl/>
        </w:rPr>
        <w:t>הצעת חוק זהה הונחה על שולחן הכנסת העשרים וארבע על ידי חבר הכנסת דוד אמסלם (פ/3467/24).</w:t>
      </w:r>
    </w:p>
    <w:p w:rsidRPr="009C2A5B" w:rsidR="009C2A5B" w:rsidP="009C2A5B" w:rsidRDefault="009C2A5B" w14:paraId="06D90A93" w14:textId="0BCFE1BC">
      <w:pPr>
        <w:pStyle w:val="Hesber"/>
        <w:rPr>
          <w:rtl/>
        </w:rPr>
      </w:pPr>
      <w:r>
        <w:rPr>
          <w:rFonts w:hint="cs"/>
          <w:rtl/>
        </w:rPr>
        <w:t>הצעת החוק זהה לפ/3467/24 ולפיכך לא נבדקה מחדש על ידי הלשכה המשפטית של הכנסת.</w:t>
      </w:r>
    </w:p>
    <w:p w:rsidRPr="00EC19F5" w:rsidR="00E13C27" w:rsidP="00E13C27" w:rsidRDefault="00E13C27" w14:paraId="7F6961CB" w14:textId="77777777">
      <w:pPr>
        <w:pStyle w:val="Hesber"/>
        <w:rPr>
          <w:rtl/>
        </w:rPr>
      </w:pPr>
    </w:p>
    <w:p w:rsidR="006B4C51" w:rsidRDefault="00F84F5C" w14:paraId="65612202" w14:textId="77777777">
      <w:pPr>
        <w:spacing w:before="0" w:line="360" w:lineRule="auto"/>
        <w:jc w:val="left"/>
      </w:pPr>
      <w:bookmarkStart w:name="selectedDocDateB" w:id="9"/>
      <w:bookmarkEnd w:id="9"/>
      <w:r>
        <w:rPr>
          <w:rFonts w:hint="cs" w:ascii="David" w:hAnsi="David" w:eastAsia="David" w:cs="David"/>
          <w:sz w:val="26"/>
          <w:szCs w:val="26"/>
          <w:rtl/>
        </w:rPr>
        <w:t>--------------------------------</w:t>
      </w:r>
    </w:p>
    <w:p w:rsidR="006B4C51" w:rsidRDefault="00F84F5C" w14:paraId="5A62904D" w14:textId="77777777">
      <w:pPr>
        <w:spacing w:before="0" w:line="360" w:lineRule="auto"/>
        <w:jc w:val="left"/>
      </w:pPr>
      <w:r>
        <w:rPr>
          <w:rFonts w:hint="cs" w:ascii="David" w:hAnsi="David" w:eastAsia="David" w:cs="David"/>
          <w:sz w:val="26"/>
          <w:szCs w:val="26"/>
          <w:rtl/>
        </w:rPr>
        <w:t>הוגשה ליו"ר הכנסת והסגנים</w:t>
      </w:r>
    </w:p>
    <w:p w:rsidR="006B4C51" w:rsidRDefault="00F84F5C" w14:paraId="1246B131" w14:textId="77777777">
      <w:pPr>
        <w:spacing w:before="0" w:line="360" w:lineRule="auto"/>
        <w:jc w:val="left"/>
      </w:pPr>
      <w:r>
        <w:rPr>
          <w:rFonts w:hint="cs" w:ascii="David" w:hAnsi="David" w:eastAsia="David" w:cs="David"/>
          <w:sz w:val="26"/>
          <w:szCs w:val="26"/>
          <w:rtl/>
        </w:rPr>
        <w:t>והונחה על שולחן הכנסת ביום</w:t>
      </w:r>
    </w:p>
    <w:p w:rsidR="006B4C51" w:rsidRDefault="00F84F5C" w14:paraId="3D0868C3" w14:textId="77777777">
      <w:pPr>
        <w:spacing w:before="0" w:line="360" w:lineRule="auto"/>
        <w:jc w:val="left"/>
      </w:pPr>
      <w:r>
        <w:rPr>
          <w:rFonts w:hint="cs" w:ascii="David" w:hAnsi="David" w:eastAsia="David" w:cs="David"/>
          <w:sz w:val="26"/>
          <w:szCs w:val="26"/>
          <w:rtl/>
        </w:rPr>
        <w:t xml:space="preserve">כ' באדר התשפ"ג (13.03.2023) </w:t>
      </w:r>
    </w:p>
    <w:p w:rsidR="006B4C51" w:rsidRDefault="006B4C51" w14:paraId="150469F2" w14:textId="77777777">
      <w:pPr>
        <w:spacing w:before="0" w:line="276" w:lineRule="auto"/>
        <w:jc w:val="left"/>
      </w:pPr>
    </w:p>
    <w:sectPr w:rsidR="006B4C5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304910D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AC3E8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5C10D4F" w14:textId="77777777" w:rsidR="00EC19F5" w:rsidRDefault="00EC19F5" w:rsidP="00EC19F5">
      <w:pPr>
        <w:pStyle w:val="a4"/>
        <w:rPr>
          <w:rtl/>
        </w:rPr>
      </w:pPr>
      <w:r>
        <w:rPr>
          <w:rStyle w:val="a6"/>
        </w:rPr>
        <w:footnoteRef/>
      </w:r>
      <w:r>
        <w:rPr>
          <w:rtl/>
        </w:rPr>
        <w:t xml:space="preserve"> </w:t>
      </w:r>
      <w:r>
        <w:rPr>
          <w:rFonts w:hint="cs"/>
          <w:rtl/>
        </w:rPr>
        <w:t>ס"ח התשס"א, עמ' 158.</w:t>
      </w:r>
    </w:p>
  </w:footnote>
  <w:footnote w:id="3">
    <w:p w14:paraId="2A2854DC" w14:textId="77777777" w:rsidR="00EC19F5" w:rsidRDefault="00EC19F5" w:rsidP="00EC19F5">
      <w:pPr>
        <w:pStyle w:val="a4"/>
      </w:pPr>
      <w:r>
        <w:rPr>
          <w:rStyle w:val="a6"/>
        </w:rPr>
        <w:footnoteRef/>
      </w:r>
      <w:r>
        <w:rPr>
          <w:rtl/>
        </w:rPr>
        <w:t xml:space="preserve"> </w:t>
      </w:r>
      <w:r>
        <w:rPr>
          <w:rFonts w:hint="cs"/>
          <w:rtl/>
        </w:rPr>
        <w:t>ס"ח התשס"א, עמ' 183.</w:t>
      </w:r>
    </w:p>
  </w:footnote>
  <w:footnote w:id="4">
    <w:p w14:paraId="684C487F" w14:textId="77777777" w:rsidR="00EC19F5" w:rsidRDefault="00EC19F5" w:rsidP="00EC19F5">
      <w:pPr>
        <w:pStyle w:val="a4"/>
        <w:rPr>
          <w:rtl/>
        </w:rPr>
      </w:pPr>
      <w:r>
        <w:rPr>
          <w:rStyle w:val="a6"/>
        </w:rPr>
        <w:footnoteRef/>
      </w:r>
      <w:r>
        <w:rPr>
          <w:rtl/>
        </w:rPr>
        <w:t xml:space="preserve"> </w:t>
      </w:r>
      <w:r>
        <w:rPr>
          <w:rFonts w:hint="cs"/>
          <w:rtl/>
        </w:rPr>
        <w:t>ס"ח התשנ"ו, עמ' 338.</w:t>
      </w:r>
    </w:p>
  </w:footnote>
  <w:footnote w:id="5">
    <w:p w14:paraId="51862267" w14:textId="77777777" w:rsidR="00EC19F5" w:rsidRDefault="00EC19F5" w:rsidP="00EC19F5">
      <w:pPr>
        <w:pStyle w:val="a4"/>
        <w:rPr>
          <w:rtl/>
        </w:rPr>
      </w:pPr>
      <w:r>
        <w:rPr>
          <w:rStyle w:val="a6"/>
        </w:rPr>
        <w:footnoteRef/>
      </w:r>
      <w:r>
        <w:rPr>
          <w:rtl/>
        </w:rPr>
        <w:t xml:space="preserve"> </w:t>
      </w:r>
      <w:r>
        <w:rPr>
          <w:rFonts w:hint="cs"/>
          <w:rtl/>
        </w:rPr>
        <w:t>ס"ח התשע"ו, עמ' 898.</w:t>
      </w:r>
    </w:p>
  </w:footnote>
  <w:footnote w:id="6">
    <w:p w14:paraId="21E2A356" w14:textId="77777777" w:rsidR="00EC19F5" w:rsidRDefault="00EC19F5" w:rsidP="00EC19F5">
      <w:pPr>
        <w:pStyle w:val="a4"/>
        <w:rPr>
          <w:rtl/>
        </w:rPr>
      </w:pPr>
      <w:r>
        <w:rPr>
          <w:rStyle w:val="a6"/>
        </w:rPr>
        <w:footnoteRef/>
      </w:r>
      <w:r>
        <w:rPr>
          <w:rFonts w:hint="cs"/>
          <w:rtl/>
        </w:rPr>
        <w:t xml:space="preserve"> </w:t>
      </w:r>
      <w:r w:rsidRPr="00CA5AA1">
        <w:rPr>
          <w:rtl/>
        </w:rPr>
        <w:t>דיני מדינת ישראל, נוסח חדש מס' 27, עמ' 526.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4C5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2A5B"/>
    <w:rsid w:val="009D6E0A"/>
    <w:rsid w:val="009E1E33"/>
    <w:rsid w:val="00A14672"/>
    <w:rsid w:val="00A26BD6"/>
    <w:rsid w:val="00A443CF"/>
    <w:rsid w:val="00A6611D"/>
    <w:rsid w:val="00A82CB7"/>
    <w:rsid w:val="00A942C1"/>
    <w:rsid w:val="00AA2F03"/>
    <w:rsid w:val="00AC36F7"/>
    <w:rsid w:val="00AC3E88"/>
    <w:rsid w:val="00AC63A4"/>
    <w:rsid w:val="00AD239E"/>
    <w:rsid w:val="00B10265"/>
    <w:rsid w:val="00B16A99"/>
    <w:rsid w:val="00B21211"/>
    <w:rsid w:val="00B35784"/>
    <w:rsid w:val="00B733A7"/>
    <w:rsid w:val="00B75C91"/>
    <w:rsid w:val="00B975AD"/>
    <w:rsid w:val="00BC45FB"/>
    <w:rsid w:val="00BE23C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C19F5"/>
    <w:rsid w:val="00ED4A6F"/>
    <w:rsid w:val="00EF3A3A"/>
    <w:rsid w:val="00F313C5"/>
    <w:rsid w:val="00F628D6"/>
    <w:rsid w:val="00F67051"/>
    <w:rsid w:val="00F84F5C"/>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F5A7F9E-ABD8-4924-AF74-45C418BD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link w:val="TableText0"/>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TableText0">
    <w:name w:val="Table Text תו"/>
    <w:basedOn w:val="a0"/>
    <w:link w:val="TableText"/>
    <w:rsid w:val="00EC19F5"/>
    <w:rPr>
      <w:rFonts w:ascii="Arial" w:eastAsia="Arial Unicode MS" w:hAnsi="Arial" w:cs="David"/>
      <w:snapToGrid w:val="0"/>
      <w:color w:val="000000"/>
      <w:szCs w:val="26"/>
      <w:lang w:eastAsia="ja-JP"/>
    </w:rPr>
  </w:style>
  <w:style w:type="character" w:customStyle="1" w:styleId="a5">
    <w:name w:val="טקסט הערת שוליים תו"/>
    <w:basedOn w:val="a0"/>
    <w:link w:val="a4"/>
    <w:semiHidden/>
    <w:rsid w:val="00EC19F5"/>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openxmlformats.org/package/2006/metadata/core-properties"/>
    <ds:schemaRef ds:uri="http://purl.org/dc/dcmitype/"/>
    <ds:schemaRef ds:uri="http://purl.org/dc/elements/1.1/"/>
    <ds:schemaRef ds:uri="290d5b49-c690-4c6f-bbb9-1e50dab33eee"/>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84C17CC-9BE0-409A-9751-1A1F0EA8B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C07D6-19E0-4841-80FF-2E63EC2D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335</Words>
  <Characters>1915</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2023-03-12T08:05:00Z</cp:lastPrinted>
  <dcterms:created xsi:type="dcterms:W3CDTF">2015-04-20T09:58:00Z</dcterms:created>
  <dcterms:modified xsi:type="dcterms:W3CDTF">2023-03-12T08:05:00Z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2202661</vt:r8>
  </property>
</Properties>
</file>