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2202662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דוד אמסלם</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4DAC154D" w:rsidR="00E13C27" w:rsidRPr="00DD38BE" w:rsidRDefault="00904591" w:rsidP="00DD38BE">
      <w:pPr>
        <w:pStyle w:val="David"/>
        <w:spacing w:before="0" w:line="240" w:lineRule="auto"/>
        <w:ind w:left="5704" w:firstLine="56"/>
        <w:rPr>
          <w:rFonts w:ascii="David" w:hAnsi="David"/>
          <w:rtl/>
        </w:rPr>
      </w:pPr>
      <w:r w:rsidRPr="00DD38BE">
        <w:rPr>
          <w:rFonts w:ascii="David" w:hAnsi="David"/>
        </w:rPr>
        <w:t xml:space="preserve">            </w:t>
      </w:r>
      <w:bookmarkStart w:id="6" w:name="Private_Number"/>
      <w:r w:rsidRPr="00DD38BE">
        <w:rPr>
          <w:rFonts w:ascii="David" w:hAnsi="David"/>
          <w:rtl/>
        </w:rPr>
        <w:t>פ</w:t>
      </w:r>
      <w:r w:rsidR="00DD38BE">
        <w:rPr>
          <w:rFonts w:ascii="David" w:hAnsi="David" w:hint="cs"/>
          <w:rtl/>
        </w:rPr>
        <w:t>/</w:t>
      </w:r>
      <w:r w:rsidRPr="00DD38BE">
        <w:rPr>
          <w:rFonts w:ascii="David" w:hAnsi="David"/>
        </w:rPr>
        <w:t>2802/25</w:t>
      </w:r>
      <w:bookmarkEnd w:id="6"/>
    </w:p>
    <w:p w14:paraId="7F6961AE" w14:textId="38C5F008" w:rsidR="00E13C27" w:rsidRDefault="00A443CF" w:rsidP="00092E03">
      <w:pPr>
        <w:pStyle w:val="HeadHatzaotHok"/>
        <w:rPr>
          <w:rtl/>
        </w:rPr>
      </w:pPr>
      <w:bookmarkStart w:id="7" w:name="LGS_Subject"/>
      <w:r>
        <w:rPr>
          <w:rFonts w:hint="cs"/>
          <w:rtl/>
        </w:rPr>
        <w:t>הצעת חוק העונשין (תיקון – ביטול עבירת מרמה והפרת אמונים), התשפ"ג–202</w:t>
      </w:r>
      <w:bookmarkEnd w:id="7"/>
      <w:r w:rsidR="00092E03">
        <w:rPr>
          <w:rFonts w:hint="cs"/>
          <w:rtl/>
        </w:rPr>
        <w:t>3</w:t>
      </w:r>
    </w:p>
    <w:tbl>
      <w:tblPr>
        <w:tblStyle w:val="ae"/>
        <w:bidiVisual/>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092E03" w:rsidRPr="00923A05" w14:paraId="0ACFDA2B" w14:textId="77777777" w:rsidTr="00583778">
        <w:trPr>
          <w:cantSplit/>
        </w:trPr>
        <w:tc>
          <w:tcPr>
            <w:tcW w:w="1871" w:type="dxa"/>
          </w:tcPr>
          <w:p w14:paraId="302A7598" w14:textId="39026073" w:rsidR="00092E03" w:rsidRDefault="00DD38BE" w:rsidP="00DD38BE">
            <w:pPr>
              <w:pStyle w:val="TableSideHeading"/>
              <w:keepLines w:val="0"/>
            </w:pPr>
            <w:r>
              <w:rPr>
                <w:rFonts w:hint="cs"/>
                <w:rtl/>
              </w:rPr>
              <w:t xml:space="preserve">ביטול </w:t>
            </w:r>
            <w:r w:rsidR="00092E03">
              <w:rPr>
                <w:rFonts w:hint="cs"/>
                <w:rtl/>
              </w:rPr>
              <w:t>סעיף 284</w:t>
            </w:r>
          </w:p>
        </w:tc>
        <w:tc>
          <w:tcPr>
            <w:tcW w:w="624" w:type="dxa"/>
          </w:tcPr>
          <w:p w14:paraId="67EE2055" w14:textId="77777777" w:rsidR="00092E03" w:rsidRDefault="00092E03" w:rsidP="00583778">
            <w:pPr>
              <w:pStyle w:val="TableText"/>
              <w:keepLines w:val="0"/>
            </w:pPr>
            <w:r>
              <w:rPr>
                <w:rFonts w:hint="cs"/>
                <w:rtl/>
              </w:rPr>
              <w:t>1.</w:t>
            </w:r>
          </w:p>
        </w:tc>
        <w:tc>
          <w:tcPr>
            <w:tcW w:w="7143" w:type="dxa"/>
          </w:tcPr>
          <w:p w14:paraId="355B4E19" w14:textId="2CF20C15" w:rsidR="00092E03" w:rsidRPr="00923A05" w:rsidRDefault="00092E03" w:rsidP="00DD38BE">
            <w:pPr>
              <w:pStyle w:val="TableBlock"/>
              <w:rPr>
                <w:b/>
                <w:bCs/>
              </w:rPr>
            </w:pPr>
            <w:r w:rsidRPr="00923A05">
              <w:rPr>
                <w:rFonts w:hint="cs"/>
                <w:rtl/>
              </w:rPr>
              <w:t>בחוק העונשין</w:t>
            </w:r>
            <w:r>
              <w:rPr>
                <w:rFonts w:hint="cs"/>
                <w:rtl/>
              </w:rPr>
              <w:t>,</w:t>
            </w:r>
            <w:r w:rsidRPr="00923A05">
              <w:rPr>
                <w:rFonts w:hint="cs"/>
                <w:rtl/>
              </w:rPr>
              <w:t xml:space="preserve"> התשל"ז</w:t>
            </w:r>
            <w:r>
              <w:rPr>
                <w:rFonts w:hint="eastAsia"/>
                <w:rtl/>
              </w:rPr>
              <w:t>–</w:t>
            </w:r>
            <w:r w:rsidRPr="00923A05">
              <w:rPr>
                <w:rFonts w:hint="cs"/>
                <w:rtl/>
              </w:rPr>
              <w:t>1977</w:t>
            </w:r>
            <w:r w:rsidRPr="002F0CAF">
              <w:rPr>
                <w:rStyle w:val="a6"/>
                <w:rFonts w:ascii="David" w:hAnsi="David"/>
                <w:sz w:val="26"/>
                <w:rtl/>
              </w:rPr>
              <w:footnoteReference w:id="2"/>
            </w:r>
            <w:r w:rsidRPr="00923A05">
              <w:rPr>
                <w:rFonts w:hint="cs"/>
                <w:rtl/>
              </w:rPr>
              <w:t xml:space="preserve">, סעיף 284 </w:t>
            </w:r>
            <w:r>
              <w:rPr>
                <w:rtl/>
              </w:rPr>
              <w:t>–</w:t>
            </w:r>
            <w:r>
              <w:rPr>
                <w:rFonts w:hint="cs"/>
                <w:rtl/>
              </w:rPr>
              <w:t xml:space="preserve"> </w:t>
            </w:r>
            <w:r w:rsidR="00DD38BE">
              <w:rPr>
                <w:rFonts w:hint="cs"/>
                <w:rtl/>
              </w:rPr>
              <w:t>בטל</w:t>
            </w:r>
            <w:r w:rsidRPr="00923A05">
              <w:rPr>
                <w:rFonts w:hint="cs"/>
                <w:rtl/>
              </w:rPr>
              <w:t>.</w:t>
            </w:r>
          </w:p>
        </w:tc>
      </w:tr>
    </w:tbl>
    <w:p w14:paraId="420DC7B7" w14:textId="37217A3E" w:rsidR="00092E03" w:rsidRDefault="002D1EE3" w:rsidP="00092E03">
      <w:pPr>
        <w:pStyle w:val="HeadDivreiHesber"/>
        <w:rPr>
          <w:rtl/>
        </w:rPr>
      </w:pPr>
      <w:r w:rsidRPr="0027450A">
        <w:rPr>
          <w:rFonts w:hint="cs"/>
          <w:rtl/>
        </w:rPr>
        <w:t>דברי הסבר</w:t>
      </w:r>
    </w:p>
    <w:p w14:paraId="40F733EE" w14:textId="77777777" w:rsidR="00092E03" w:rsidRPr="00B42D11" w:rsidRDefault="00092E03" w:rsidP="00DD38BE">
      <w:pPr>
        <w:pStyle w:val="Hesber"/>
        <w:spacing w:line="276" w:lineRule="auto"/>
        <w:rPr>
          <w:rtl/>
        </w:rPr>
      </w:pPr>
      <w:r w:rsidRPr="00B42D11">
        <w:rPr>
          <w:rtl/>
        </w:rPr>
        <w:t>עבירת "מרמה והפרת אמונים" היא עבירה המתייחסת לעובד ציבור.</w:t>
      </w:r>
      <w:r w:rsidRPr="00B42D11">
        <w:rPr>
          <w:rFonts w:hint="cs"/>
          <w:rtl/>
        </w:rPr>
        <w:t xml:space="preserve"> </w:t>
      </w:r>
      <w:r w:rsidRPr="00B42D11">
        <w:rPr>
          <w:rtl/>
        </w:rPr>
        <w:t>מדובר בעבירת סל עמומה ש</w:t>
      </w:r>
      <w:r w:rsidRPr="00B42D11">
        <w:rPr>
          <w:rFonts w:hint="cs"/>
          <w:rtl/>
        </w:rPr>
        <w:t xml:space="preserve">כיום </w:t>
      </w:r>
      <w:r w:rsidRPr="00B42D11">
        <w:rPr>
          <w:rtl/>
        </w:rPr>
        <w:t>אין לה</w:t>
      </w:r>
      <w:r w:rsidRPr="00B42D11">
        <w:rPr>
          <w:rFonts w:hint="cs"/>
          <w:rtl/>
        </w:rPr>
        <w:t xml:space="preserve"> כמעט</w:t>
      </w:r>
      <w:r w:rsidRPr="00B42D11">
        <w:rPr>
          <w:rtl/>
        </w:rPr>
        <w:t xml:space="preserve"> אח ורע במדינות בעולם.</w:t>
      </w:r>
      <w:r w:rsidRPr="00B42D11">
        <w:rPr>
          <w:rFonts w:hint="cs"/>
          <w:rtl/>
        </w:rPr>
        <w:t xml:space="preserve"> עבירה זו לא עומדת בקנה אחד עם כלל היסוד בשיטת המשפט הישראלית לפיו אין עונשין אלא אם כן מזהירין </w:t>
      </w:r>
      <w:r w:rsidRPr="00B42D11">
        <w:rPr>
          <w:rtl/>
        </w:rPr>
        <w:t>מאחר והיסוד העובדתי של עבירה זו לא מוגדר</w:t>
      </w:r>
      <w:r w:rsidRPr="00B42D11">
        <w:rPr>
          <w:rFonts w:hint="cs"/>
          <w:rtl/>
        </w:rPr>
        <w:t xml:space="preserve"> באופן ברור ו</w:t>
      </w:r>
      <w:r w:rsidRPr="00B42D11">
        <w:rPr>
          <w:rtl/>
        </w:rPr>
        <w:t xml:space="preserve">מי שמואשם בעבירה זו לא יכול לצפות שמעשיו </w:t>
      </w:r>
      <w:r w:rsidRPr="00B42D11">
        <w:rPr>
          <w:rFonts w:hint="cs"/>
          <w:rtl/>
        </w:rPr>
        <w:t>ייכנסו בגדר עבירה זו.</w:t>
      </w:r>
    </w:p>
    <w:p w14:paraId="669004B4" w14:textId="77777777" w:rsidR="00092E03" w:rsidRPr="00B42D11" w:rsidRDefault="00092E03" w:rsidP="00DD38BE">
      <w:pPr>
        <w:pStyle w:val="Hesber"/>
        <w:spacing w:line="276" w:lineRule="auto"/>
      </w:pPr>
      <w:r w:rsidRPr="00B42D11">
        <w:rPr>
          <w:rtl/>
        </w:rPr>
        <w:t>פרופ</w:t>
      </w:r>
      <w:r w:rsidRPr="00B42D11">
        <w:rPr>
          <w:rFonts w:hint="cs"/>
          <w:rtl/>
        </w:rPr>
        <w:t xml:space="preserve">' זאב סגל, במאמרו "בית המשפט הגבוה לצדק </w:t>
      </w:r>
      <w:r w:rsidRPr="00B42D11">
        <w:rPr>
          <w:rtl/>
        </w:rPr>
        <w:t>–</w:t>
      </w:r>
      <w:r w:rsidRPr="00B42D11">
        <w:rPr>
          <w:rFonts w:hint="cs"/>
          <w:rtl/>
        </w:rPr>
        <w:t xml:space="preserve"> בית משפט כמעצב חברתי", מראה במראה, עמ' 298 (התשס"א), </w:t>
      </w:r>
      <w:r w:rsidRPr="00B42D11">
        <w:t> </w:t>
      </w:r>
      <w:r w:rsidRPr="00B42D11">
        <w:rPr>
          <w:rtl/>
        </w:rPr>
        <w:t xml:space="preserve">הכליל את </w:t>
      </w:r>
      <w:r w:rsidRPr="00B42D11">
        <w:rPr>
          <w:rFonts w:hint="cs"/>
          <w:rtl/>
        </w:rPr>
        <w:t>המונח "</w:t>
      </w:r>
      <w:r w:rsidRPr="00B42D11">
        <w:rPr>
          <w:rtl/>
        </w:rPr>
        <w:t>הפרת אמונים</w:t>
      </w:r>
      <w:r w:rsidRPr="00B42D11">
        <w:rPr>
          <w:rFonts w:hint="cs"/>
          <w:rtl/>
        </w:rPr>
        <w:t>"</w:t>
      </w:r>
      <w:r w:rsidRPr="00B42D11">
        <w:rPr>
          <w:rtl/>
        </w:rPr>
        <w:t xml:space="preserve"> כאחד מ"מקרים קשים" של מושגים עמומים</w:t>
      </w:r>
      <w:r w:rsidRPr="00B42D11">
        <w:rPr>
          <w:rFonts w:hint="cs"/>
          <w:rtl/>
        </w:rPr>
        <w:t xml:space="preserve"> שביחס אליהם נדרשות הכרעות פרשניות של בית המשפט</w:t>
      </w:r>
      <w:r w:rsidRPr="00B42D11">
        <w:rPr>
          <w:rtl/>
        </w:rPr>
        <w:t xml:space="preserve"> ו</w:t>
      </w:r>
      <w:r w:rsidRPr="00B42D11">
        <w:rPr>
          <w:rFonts w:hint="cs"/>
          <w:rtl/>
        </w:rPr>
        <w:t>ציין ובמאמרו</w:t>
      </w:r>
      <w:r w:rsidRPr="00B42D11">
        <w:rPr>
          <w:rtl/>
        </w:rPr>
        <w:t xml:space="preserve"> </w:t>
      </w:r>
      <w:r w:rsidRPr="00B42D11">
        <w:rPr>
          <w:rFonts w:hint="cs"/>
          <w:rtl/>
        </w:rPr>
        <w:t xml:space="preserve">"צללים מרחפים על שלטון החוק </w:t>
      </w:r>
      <w:r w:rsidRPr="00B42D11">
        <w:rPr>
          <w:rtl/>
        </w:rPr>
        <w:t>–</w:t>
      </w:r>
      <w:r w:rsidRPr="00B42D11">
        <w:rPr>
          <w:rFonts w:hint="cs"/>
          <w:rtl/>
        </w:rPr>
        <w:t xml:space="preserve"> עם פרשת בר-און ובעקבותיה", משפט וממשל, עמ' 620 (התשנ"ח) כי </w:t>
      </w:r>
      <w:r w:rsidRPr="00B42D11">
        <w:rPr>
          <w:rtl/>
        </w:rPr>
        <w:t>"הניסוח הרחב והגורף של עבירת הפרת האמונים, מביא לכך שבידי רשויות התביעה שיקול דעת רחב ביותר להחליט אימתי להעמיד לדין בגין עבירה זו, ומתי להימנע מכך... משהוגש כתב אישום, בידי בית המשפט נתון כוח רב לצקת תוכן ל"עבירת סל" זאת</w:t>
      </w:r>
      <w:r w:rsidRPr="00B42D11">
        <w:rPr>
          <w:rFonts w:hint="cs"/>
          <w:rtl/>
        </w:rPr>
        <w:t>".</w:t>
      </w:r>
    </w:p>
    <w:p w14:paraId="3E116607" w14:textId="77777777" w:rsidR="00092E03" w:rsidRPr="00B42D11" w:rsidRDefault="00092E03" w:rsidP="00DD38BE">
      <w:pPr>
        <w:pStyle w:val="Hesber"/>
        <w:spacing w:line="276" w:lineRule="auto"/>
        <w:rPr>
          <w:rtl/>
        </w:rPr>
      </w:pPr>
      <w:r w:rsidRPr="00B42D11">
        <w:rPr>
          <w:rtl/>
        </w:rPr>
        <w:t>לדברי פרו</w:t>
      </w:r>
      <w:r w:rsidRPr="00B42D11">
        <w:rPr>
          <w:rFonts w:hint="cs"/>
          <w:rtl/>
        </w:rPr>
        <w:t>פ'</w:t>
      </w:r>
      <w:r w:rsidRPr="00B42D11">
        <w:t> </w:t>
      </w:r>
      <w:r w:rsidRPr="00B42D11">
        <w:rPr>
          <w:rFonts w:hint="cs"/>
          <w:rtl/>
        </w:rPr>
        <w:t xml:space="preserve">גבריאל הלוי, במאמרו "מבנה העבירה הפלילית </w:t>
      </w:r>
      <w:r w:rsidRPr="00B42D11">
        <w:rPr>
          <w:rtl/>
        </w:rPr>
        <w:t>–</w:t>
      </w:r>
      <w:r w:rsidRPr="00B42D11">
        <w:rPr>
          <w:rFonts w:hint="cs"/>
          <w:rtl/>
        </w:rPr>
        <w:t xml:space="preserve"> לקראת חקיקה מחדש (רה-קודיפיקציה) של דיני העבירות בישראל", קריית המשפט, עמ' 71 (התשע"ד), </w:t>
      </w:r>
      <w:r w:rsidRPr="00B42D11">
        <w:rPr>
          <w:rtl/>
        </w:rPr>
        <w:t>ה</w:t>
      </w:r>
      <w:r w:rsidRPr="00B42D11">
        <w:rPr>
          <w:rFonts w:hint="cs"/>
          <w:rtl/>
        </w:rPr>
        <w:t xml:space="preserve">עבירה של הפרת אמונים היא עבירת מסגרת, אשר יסודותיה העובדתיים אינם מוגדרים דיים. כתוצאה מכך מהווה האשמה המוסרית אחד המנגנונים לוויסות היקף התפרסותה של העבירה. הואיל ומרכז הכובד של העבירה הוא באשמתו המוסרית של הנאשם, יש שלצורך התגבשותה נדרש בית המשפט להתחקות אחר מניעיו של הנאשם. בכך נבדלת עבירת הפרת אמונים שבה יש שמניעיו של הנאשם מהווים חלק מהגדרתה, מעבירות מחשבה פלילית רגילה אשר בהן המניע אינו חלק מיסודותיהן אלא רק שיקול בגזר הדין. </w:t>
      </w:r>
    </w:p>
    <w:p w14:paraId="3C83DEF4" w14:textId="77777777" w:rsidR="00092E03" w:rsidRPr="00B42D11" w:rsidRDefault="00092E03" w:rsidP="00DD38BE">
      <w:pPr>
        <w:pStyle w:val="Hesber"/>
        <w:spacing w:line="276" w:lineRule="auto"/>
        <w:rPr>
          <w:rtl/>
        </w:rPr>
      </w:pPr>
      <w:r w:rsidRPr="00B42D11">
        <w:rPr>
          <w:rFonts w:hint="cs"/>
          <w:rtl/>
        </w:rPr>
        <w:t>לאור כל האמור לעיל מוצע למחוק את עבירה זו מחוק העונשין.</w:t>
      </w:r>
    </w:p>
    <w:p w14:paraId="2A0D0A43" w14:textId="0FE0FE20" w:rsidR="00092E03" w:rsidRDefault="00092E03" w:rsidP="00DD38BE">
      <w:pPr>
        <w:pStyle w:val="Hesber"/>
        <w:spacing w:line="276" w:lineRule="auto"/>
        <w:rPr>
          <w:rtl/>
        </w:rPr>
      </w:pPr>
      <w:r w:rsidRPr="00B42D11">
        <w:rPr>
          <w:rFonts w:hint="cs"/>
          <w:rtl/>
        </w:rPr>
        <w:t>הצעת חוק זהה הונחה על שולחן הכנסת העשרים וארבע על ידי חבר הכנסת דוד אמסלם (פ/</w:t>
      </w:r>
      <w:r w:rsidR="00B42D11">
        <w:rPr>
          <w:rFonts w:hint="cs"/>
          <w:rtl/>
        </w:rPr>
        <w:t>3202</w:t>
      </w:r>
      <w:r w:rsidRPr="00B42D11">
        <w:rPr>
          <w:rFonts w:hint="cs"/>
          <w:rtl/>
        </w:rPr>
        <w:t>/24)</w:t>
      </w:r>
      <w:r w:rsidR="00B42D11">
        <w:rPr>
          <w:rFonts w:hint="cs"/>
          <w:rtl/>
        </w:rPr>
        <w:t>.</w:t>
      </w:r>
    </w:p>
    <w:p w14:paraId="62AFDDE8" w14:textId="219DE3A6" w:rsidR="00B42D11" w:rsidRPr="00B42D11" w:rsidRDefault="00B42D11" w:rsidP="00DD38BE">
      <w:pPr>
        <w:pStyle w:val="Hesber"/>
        <w:spacing w:line="276" w:lineRule="auto"/>
        <w:rPr>
          <w:rtl/>
        </w:rPr>
      </w:pPr>
      <w:r>
        <w:rPr>
          <w:rFonts w:hint="cs"/>
          <w:rtl/>
        </w:rPr>
        <w:t>הצעת החוק זהה לפ/3202/24 ולפיכך לא נבדקה מחדש על ידי הלשכה המשפטית של הכנסת.</w:t>
      </w:r>
    </w:p>
    <w:p w14:paraId="5DF5AFDC" w14:textId="77777777" w:rsidR="00DD38BE" w:rsidRDefault="00DD38BE" w:rsidP="00DD38BE">
      <w:pPr>
        <w:spacing w:before="0" w:line="276" w:lineRule="auto"/>
        <w:jc w:val="left"/>
        <w:rPr>
          <w:rFonts w:ascii="David" w:eastAsia="David" w:hAnsi="David" w:cs="David"/>
          <w:sz w:val="26"/>
          <w:szCs w:val="26"/>
          <w:rtl/>
        </w:rPr>
      </w:pPr>
      <w:bookmarkStart w:id="8" w:name="selectedDocDateB"/>
      <w:bookmarkEnd w:id="8"/>
    </w:p>
    <w:p w14:paraId="04D3B4D2" w14:textId="170CB7D9" w:rsidR="007643E5" w:rsidRDefault="00DD38BE" w:rsidP="00DD38BE">
      <w:pPr>
        <w:spacing w:before="0" w:line="276" w:lineRule="auto"/>
        <w:jc w:val="left"/>
      </w:pPr>
      <w:bookmarkStart w:id="9" w:name="_GoBack"/>
      <w:bookmarkEnd w:id="9"/>
      <w:r>
        <w:rPr>
          <w:rFonts w:ascii="David" w:eastAsia="David" w:hAnsi="David" w:cs="David" w:hint="cs"/>
          <w:sz w:val="26"/>
          <w:szCs w:val="26"/>
          <w:rtl/>
        </w:rPr>
        <w:t>--------------------------------</w:t>
      </w:r>
    </w:p>
    <w:p w14:paraId="48CC904A" w14:textId="77777777" w:rsidR="007643E5" w:rsidRDefault="00DD38BE" w:rsidP="00DD38BE">
      <w:pPr>
        <w:spacing w:before="0" w:line="276" w:lineRule="auto"/>
        <w:jc w:val="left"/>
      </w:pPr>
      <w:r>
        <w:rPr>
          <w:rFonts w:ascii="David" w:eastAsia="David" w:hAnsi="David" w:cs="David" w:hint="cs"/>
          <w:sz w:val="26"/>
          <w:szCs w:val="26"/>
          <w:rtl/>
        </w:rPr>
        <w:t>הוגשה ליו"ר הכנסת והסגנים</w:t>
      </w:r>
    </w:p>
    <w:p w14:paraId="6AC842F8" w14:textId="77777777" w:rsidR="007643E5" w:rsidRDefault="00DD38BE" w:rsidP="00DD38BE">
      <w:pPr>
        <w:spacing w:before="0" w:line="276" w:lineRule="auto"/>
        <w:jc w:val="left"/>
      </w:pPr>
      <w:r>
        <w:rPr>
          <w:rFonts w:ascii="David" w:eastAsia="David" w:hAnsi="David" w:cs="David" w:hint="cs"/>
          <w:sz w:val="26"/>
          <w:szCs w:val="26"/>
          <w:rtl/>
        </w:rPr>
        <w:t>והונחה על שולחן הכנסת ביום</w:t>
      </w:r>
    </w:p>
    <w:p w14:paraId="1FBE0700" w14:textId="77777777" w:rsidR="007643E5" w:rsidRDefault="00DD38BE" w:rsidP="00DD38BE">
      <w:pPr>
        <w:spacing w:before="0" w:line="276" w:lineRule="auto"/>
        <w:jc w:val="left"/>
      </w:pPr>
      <w:r>
        <w:rPr>
          <w:rFonts w:ascii="David" w:eastAsia="David" w:hAnsi="David" w:cs="David" w:hint="cs"/>
          <w:sz w:val="26"/>
          <w:szCs w:val="26"/>
          <w:rtl/>
        </w:rPr>
        <w:t xml:space="preserve">כ' באדר התשפ"ג (13.03.2023) </w:t>
      </w:r>
    </w:p>
    <w:p w14:paraId="59148F8B" w14:textId="77777777" w:rsidR="007643E5" w:rsidRDefault="007643E5">
      <w:pPr>
        <w:spacing w:before="0" w:line="276" w:lineRule="auto"/>
        <w:jc w:val="left"/>
      </w:pPr>
    </w:p>
    <w:sectPr w:rsidR="007643E5"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27B99EC5"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DD38BE">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2F1693A" w14:textId="77777777" w:rsidR="00092E03" w:rsidRDefault="00092E03" w:rsidP="00092E03">
      <w:pPr>
        <w:pStyle w:val="a4"/>
      </w:pPr>
      <w:r>
        <w:rPr>
          <w:rStyle w:val="a6"/>
        </w:rPr>
        <w:footnoteRef/>
      </w:r>
      <w:r>
        <w:rPr>
          <w:rtl/>
        </w:rPr>
        <w:t xml:space="preserve"> </w:t>
      </w:r>
      <w:r>
        <w:rPr>
          <w:rFonts w:hint="cs"/>
          <w:rtl/>
        </w:rPr>
        <w:t>ס"ח התשל"ז, עמ' 226.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92E03"/>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43E5"/>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42D11"/>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D38BE"/>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E5BD1"/>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E289F8D-432C-4FF2-BD4A-D98B185D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092E03"/>
    <w:rPr>
      <w:rFonts w:ascii="Arial" w:eastAsia="Arial Unicode MS" w:hAnsi="Arial" w:cs="David"/>
      <w:snapToGrid w:val="0"/>
      <w:color w:val="000000"/>
      <w:sz w:val="14"/>
      <w:lang w:eastAsia="ja-JP"/>
    </w:rPr>
  </w:style>
  <w:style w:type="table" w:styleId="ae">
    <w:name w:val="Table Grid"/>
    <w:basedOn w:val="a1"/>
    <w:rsid w:val="00092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3BD1C9E5-BC1C-40FF-B31D-DBA960F34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D3A536-9BF0-4239-BC43-0DB0B5D5A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348</Words>
  <Characters>1741</Characters>
  <Application>Microsoft Office Word</Application>
  <DocSecurity>0</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7</cp:revision>
  <cp:lastPrinted>2013-07-04T08:25:00Z</cp:lastPrinted>
  <dcterms:created xsi:type="dcterms:W3CDTF">2015-04-20T09:58:00Z</dcterms:created>
  <dcterms:modified xsi:type="dcterms:W3CDTF">2023-03-09T10:20:00Z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2202662</vt:r8>
  </property>
</Properties>
</file>