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2202672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דוד אמסלם</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86C3FD5" w:rsidR="00E13C27" w:rsidRPr="00E06736" w:rsidRDefault="00904591" w:rsidP="00F60F2A">
      <w:pPr>
        <w:pStyle w:val="David"/>
        <w:spacing w:line="240" w:lineRule="auto"/>
        <w:ind w:left="6424" w:firstLine="56"/>
        <w:rPr>
          <w:rtl/>
        </w:rPr>
      </w:pPr>
      <w:bookmarkStart w:id="6" w:name="Private_Number"/>
      <w:r>
        <w:rPr>
          <w:rFonts w:hint="cs"/>
          <w:rtl/>
        </w:rPr>
        <w:t>פ/2807/25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הקמת ועדת חקירה ממלכתית לפרשת המימד החמישי, התשפ"ג–2023</w:t>
      </w:r>
      <w:bookmarkEnd w:id="7"/>
    </w:p>
    <w:tbl>
      <w:tblPr>
        <w:tblStyle w:val="ae"/>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D445E9" w:rsidRPr="006F0937" w14:paraId="5C5D270C" w14:textId="77777777" w:rsidTr="00EA5690">
        <w:trPr>
          <w:cantSplit/>
        </w:trPr>
        <w:tc>
          <w:tcPr>
            <w:tcW w:w="1871" w:type="dxa"/>
          </w:tcPr>
          <w:p w14:paraId="40BCEEFC" w14:textId="0EA4FD4A" w:rsidR="00D445E9" w:rsidRPr="006F0937" w:rsidRDefault="00D445E9" w:rsidP="00EA5690">
            <w:pPr>
              <w:pStyle w:val="TableSideHeading"/>
              <w:rPr>
                <w:sz w:val="26"/>
              </w:rPr>
            </w:pPr>
            <w:r>
              <w:rPr>
                <w:rFonts w:hint="cs"/>
                <w:sz w:val="26"/>
                <w:rtl/>
              </w:rPr>
              <w:t xml:space="preserve">הקמת ועדת </w:t>
            </w:r>
            <w:r w:rsidRPr="006F0937">
              <w:rPr>
                <w:rFonts w:hint="cs"/>
                <w:sz w:val="26"/>
                <w:rtl/>
              </w:rPr>
              <w:t>חקירה</w:t>
            </w:r>
          </w:p>
        </w:tc>
        <w:tc>
          <w:tcPr>
            <w:tcW w:w="624" w:type="dxa"/>
          </w:tcPr>
          <w:p w14:paraId="2B291CAE" w14:textId="77777777" w:rsidR="00D445E9" w:rsidRPr="006F0937" w:rsidRDefault="00D445E9" w:rsidP="00EA5690">
            <w:pPr>
              <w:pStyle w:val="TableText"/>
              <w:jc w:val="both"/>
              <w:rPr>
                <w:sz w:val="26"/>
              </w:rPr>
            </w:pPr>
            <w:r w:rsidRPr="006F0937">
              <w:rPr>
                <w:sz w:val="26"/>
                <w:rtl/>
              </w:rPr>
              <w:t>1.</w:t>
            </w:r>
          </w:p>
        </w:tc>
        <w:tc>
          <w:tcPr>
            <w:tcW w:w="7143" w:type="dxa"/>
          </w:tcPr>
          <w:p w14:paraId="633DFE99" w14:textId="77777777" w:rsidR="00D445E9" w:rsidRPr="006F0937" w:rsidRDefault="00D445E9" w:rsidP="00EA5690">
            <w:pPr>
              <w:pStyle w:val="TableBlock"/>
              <w:rPr>
                <w:sz w:val="26"/>
              </w:rPr>
            </w:pPr>
            <w:r w:rsidRPr="006F0937">
              <w:rPr>
                <w:rFonts w:hint="cs"/>
                <w:sz w:val="26"/>
                <w:rtl/>
              </w:rPr>
              <w:t>הממשלה תמנה ועדת חקירה ממלכתית לבדיקת פרשת "המימד החמישי".</w:t>
            </w:r>
          </w:p>
        </w:tc>
      </w:tr>
      <w:tr w:rsidR="00D445E9" w:rsidRPr="006F0937" w14:paraId="57155003" w14:textId="77777777" w:rsidTr="00EA5690">
        <w:trPr>
          <w:cantSplit/>
        </w:trPr>
        <w:tc>
          <w:tcPr>
            <w:tcW w:w="1871" w:type="dxa"/>
          </w:tcPr>
          <w:p w14:paraId="7CAFCDAC" w14:textId="77777777" w:rsidR="00D445E9" w:rsidRPr="006F0937" w:rsidRDefault="00D445E9" w:rsidP="00EA5690">
            <w:pPr>
              <w:pStyle w:val="TableSideHeading"/>
              <w:rPr>
                <w:sz w:val="26"/>
              </w:rPr>
            </w:pPr>
            <w:r w:rsidRPr="006F0937">
              <w:rPr>
                <w:sz w:val="26"/>
                <w:rtl/>
              </w:rPr>
              <w:t>פעולת הוועדה</w:t>
            </w:r>
          </w:p>
        </w:tc>
        <w:tc>
          <w:tcPr>
            <w:tcW w:w="624" w:type="dxa"/>
          </w:tcPr>
          <w:p w14:paraId="7F724946" w14:textId="77777777" w:rsidR="00D445E9" w:rsidRPr="006F0937" w:rsidRDefault="00D445E9" w:rsidP="00EA5690">
            <w:pPr>
              <w:pStyle w:val="TableText"/>
              <w:jc w:val="both"/>
              <w:rPr>
                <w:sz w:val="26"/>
                <w:rtl/>
              </w:rPr>
            </w:pPr>
            <w:r w:rsidRPr="006F0937">
              <w:rPr>
                <w:sz w:val="26"/>
                <w:rtl/>
              </w:rPr>
              <w:t>2.</w:t>
            </w:r>
          </w:p>
        </w:tc>
        <w:tc>
          <w:tcPr>
            <w:tcW w:w="7143" w:type="dxa"/>
          </w:tcPr>
          <w:p w14:paraId="5E720421" w14:textId="77777777" w:rsidR="00D445E9" w:rsidRPr="006F0937" w:rsidRDefault="00D445E9" w:rsidP="00EA5690">
            <w:pPr>
              <w:pStyle w:val="TableBlock"/>
              <w:rPr>
                <w:sz w:val="26"/>
              </w:rPr>
            </w:pPr>
            <w:r w:rsidRPr="006F0937">
              <w:rPr>
                <w:rFonts w:hint="cs"/>
                <w:sz w:val="26"/>
                <w:rtl/>
              </w:rPr>
              <w:t>הוועדה תפעל על פי חוק ועדות חקירה, התשכ"ט–1968</w:t>
            </w:r>
            <w:r w:rsidRPr="006F0937">
              <w:rPr>
                <w:rFonts w:ascii="David" w:hAnsi="David"/>
                <w:sz w:val="26"/>
                <w:vertAlign w:val="superscript"/>
                <w:rtl/>
              </w:rPr>
              <w:footnoteReference w:id="2"/>
            </w:r>
            <w:r w:rsidRPr="006F0937">
              <w:rPr>
                <w:rFonts w:hint="cs"/>
                <w:sz w:val="26"/>
                <w:rtl/>
              </w:rPr>
              <w:t>.</w:t>
            </w:r>
          </w:p>
        </w:tc>
      </w:tr>
      <w:tr w:rsidR="00D445E9" w:rsidRPr="006F0937" w14:paraId="21916E7B" w14:textId="77777777" w:rsidTr="00EA5690">
        <w:trPr>
          <w:cantSplit/>
        </w:trPr>
        <w:tc>
          <w:tcPr>
            <w:tcW w:w="1871" w:type="dxa"/>
          </w:tcPr>
          <w:p w14:paraId="67AB5DC0" w14:textId="156FA1CF" w:rsidR="00D445E9" w:rsidRPr="006F0937" w:rsidRDefault="00F60F2A" w:rsidP="00EA5690">
            <w:pPr>
              <w:pStyle w:val="TableSideHeading"/>
              <w:rPr>
                <w:sz w:val="26"/>
                <w:rtl/>
              </w:rPr>
            </w:pPr>
            <w:r>
              <w:rPr>
                <w:sz w:val="26"/>
                <w:rtl/>
              </w:rPr>
              <w:t>מועד</w:t>
            </w:r>
            <w:r w:rsidR="00D445E9" w:rsidRPr="006F0937">
              <w:rPr>
                <w:sz w:val="26"/>
                <w:rtl/>
              </w:rPr>
              <w:t xml:space="preserve"> תחילת פעילות הועדה</w:t>
            </w:r>
          </w:p>
        </w:tc>
        <w:tc>
          <w:tcPr>
            <w:tcW w:w="624" w:type="dxa"/>
          </w:tcPr>
          <w:p w14:paraId="343886B6" w14:textId="77777777" w:rsidR="00D445E9" w:rsidRPr="006F0937" w:rsidRDefault="00D445E9" w:rsidP="00EA5690">
            <w:pPr>
              <w:pStyle w:val="TableText"/>
              <w:jc w:val="both"/>
              <w:rPr>
                <w:sz w:val="26"/>
                <w:rtl/>
              </w:rPr>
            </w:pPr>
            <w:r>
              <w:rPr>
                <w:rFonts w:hint="cs"/>
                <w:sz w:val="26"/>
                <w:rtl/>
              </w:rPr>
              <w:t>3.</w:t>
            </w:r>
          </w:p>
        </w:tc>
        <w:tc>
          <w:tcPr>
            <w:tcW w:w="7143" w:type="dxa"/>
          </w:tcPr>
          <w:p w14:paraId="7794C689" w14:textId="1D5FEE37" w:rsidR="00D445E9" w:rsidRPr="006F0937" w:rsidRDefault="00D445E9" w:rsidP="00EA5690">
            <w:pPr>
              <w:pStyle w:val="TableBlock"/>
              <w:rPr>
                <w:sz w:val="26"/>
                <w:rtl/>
              </w:rPr>
            </w:pPr>
            <w:r w:rsidRPr="006F0937">
              <w:rPr>
                <w:rFonts w:hint="cs"/>
                <w:sz w:val="26"/>
                <w:rtl/>
              </w:rPr>
              <w:t xml:space="preserve">הוועדה תחל פעולתה </w:t>
            </w:r>
            <w:r w:rsidR="00F60F2A">
              <w:rPr>
                <w:rFonts w:hint="cs"/>
                <w:sz w:val="26"/>
                <w:rtl/>
              </w:rPr>
              <w:t>ב</w:t>
            </w:r>
            <w:r w:rsidRPr="006F0937">
              <w:rPr>
                <w:rFonts w:hint="cs"/>
                <w:sz w:val="26"/>
                <w:rtl/>
              </w:rPr>
              <w:t>תוך 30 ימים מיום תחילתו של חוק זה.</w:t>
            </w:r>
          </w:p>
        </w:tc>
      </w:tr>
    </w:tbl>
    <w:p w14:paraId="7F6961CA" w14:textId="77777777" w:rsidR="002D1EE3" w:rsidRDefault="002D1EE3" w:rsidP="002D1EE3">
      <w:pPr>
        <w:pStyle w:val="HeadDivreiHesber"/>
        <w:rPr>
          <w:rtl/>
        </w:rPr>
      </w:pPr>
      <w:r w:rsidRPr="0027450A">
        <w:rPr>
          <w:rFonts w:hint="cs"/>
          <w:rtl/>
        </w:rPr>
        <w:t>דברי הסבר</w:t>
      </w:r>
    </w:p>
    <w:p w14:paraId="26641462" w14:textId="77777777" w:rsidR="00D445E9" w:rsidRPr="00E27A1B" w:rsidRDefault="00D445E9" w:rsidP="00E27A1B">
      <w:pPr>
        <w:pStyle w:val="Hesber"/>
        <w:rPr>
          <w:rtl/>
        </w:rPr>
      </w:pPr>
      <w:r w:rsidRPr="00E27A1B">
        <w:rPr>
          <w:rtl/>
        </w:rPr>
        <w:t>המימד החמישי החזקות בע"מ הייתה חברה שהוקמה בשנת 2014 ופיתחה מערכת בינה מלאכותית ליישומי מודיעין צבאי, ממשלתי ואזרחי.</w:t>
      </w:r>
      <w:r w:rsidRPr="00E27A1B">
        <w:rPr>
          <w:rFonts w:hint="cs"/>
          <w:rtl/>
        </w:rPr>
        <w:t xml:space="preserve"> במרץ 2019 מבקר המדינה לשעבר, יוסף שפירא, פרסם דוח חמור על התנהלות החברה ובכיריה. בין היתר התברר כי החברה קיבלה ממשטרת ישראל סכום של 4 מיליון שקלים חדשים בפטור ממכרז כחלק מעסקה בשווי 50 מיליון שקלים חדשים. </w:t>
      </w:r>
    </w:p>
    <w:p w14:paraId="686EC186" w14:textId="77777777" w:rsidR="00D445E9" w:rsidRPr="00E27A1B" w:rsidRDefault="00D445E9" w:rsidP="00E27A1B">
      <w:pPr>
        <w:pStyle w:val="Hesber"/>
        <w:rPr>
          <w:rtl/>
        </w:rPr>
      </w:pPr>
      <w:r w:rsidRPr="00E27A1B">
        <w:rPr>
          <w:rFonts w:hint="cs"/>
          <w:rtl/>
        </w:rPr>
        <w:t>על אף פניות חוזרות ונשנות ליועמ"ש לממשלה בדרישה לפתוח בחקירה פלילית ועל אף שביולי 2020 קיבלה לידיה הרשות לתחרות את האחריות על חקירת הפרשה, וזאת משום שלמשטרה יש ניגוד עניינים ברור לחקור, כיום שנה לאחר מכן לא נעשה דבר.</w:t>
      </w:r>
    </w:p>
    <w:p w14:paraId="7259BB96" w14:textId="3730130B" w:rsidR="00E27A1B" w:rsidRPr="00E27A1B" w:rsidRDefault="00D445E9" w:rsidP="00F60F2A">
      <w:pPr>
        <w:pStyle w:val="Hesber"/>
        <w:rPr>
          <w:rtl/>
        </w:rPr>
      </w:pPr>
      <w:r w:rsidRPr="00E27A1B">
        <w:rPr>
          <w:rFonts w:hint="cs"/>
          <w:rtl/>
        </w:rPr>
        <w:t xml:space="preserve">מאחר </w:t>
      </w:r>
      <w:r w:rsidR="00F60F2A">
        <w:rPr>
          <w:rFonts w:hint="cs"/>
          <w:rtl/>
        </w:rPr>
        <w:t>ש</w:t>
      </w:r>
      <w:r w:rsidRPr="00E27A1B">
        <w:rPr>
          <w:rFonts w:hint="cs"/>
          <w:rtl/>
        </w:rPr>
        <w:t xml:space="preserve">מדובר במעילה  בסכום עתק של כספי ציבור ומאחר שיש לרשויות המעורבות ניגוד עניינים לחקור את הפרשה, ואף אוזלת יד, יש להקים ועדת חקירה ממלכתית שתחקור את הפרשה החמורה הזו לעומקה ובין היתר תבדוק את מעורבותם של בכירים בפרשה. </w:t>
      </w:r>
    </w:p>
    <w:p w14:paraId="7C032E48" w14:textId="1ADDA371" w:rsidR="00D445E9" w:rsidRDefault="00D445E9" w:rsidP="00E27A1B">
      <w:pPr>
        <w:pStyle w:val="Hesber"/>
        <w:rPr>
          <w:rtl/>
        </w:rPr>
      </w:pPr>
      <w:r w:rsidRPr="00E27A1B">
        <w:rPr>
          <w:rFonts w:hint="cs"/>
          <w:rtl/>
        </w:rPr>
        <w:t>הצעת חוק זהה הונחה על שולחן הכנסת העשרים וארבע על ידי חבר הכנסת דוד אמסלם (פ/</w:t>
      </w:r>
      <w:r w:rsidR="00E27A1B">
        <w:rPr>
          <w:rFonts w:hint="cs"/>
          <w:rtl/>
        </w:rPr>
        <w:t>2501</w:t>
      </w:r>
      <w:r w:rsidRPr="00E27A1B">
        <w:rPr>
          <w:rFonts w:hint="cs"/>
          <w:rtl/>
        </w:rPr>
        <w:t>/24)</w:t>
      </w:r>
      <w:r w:rsidR="00E27A1B">
        <w:rPr>
          <w:rFonts w:hint="cs"/>
          <w:rtl/>
        </w:rPr>
        <w:t>.</w:t>
      </w:r>
    </w:p>
    <w:p w14:paraId="4B807A38" w14:textId="33FEC2AD" w:rsidR="00E27A1B" w:rsidRPr="00E27A1B" w:rsidRDefault="00E27A1B" w:rsidP="00E27A1B">
      <w:pPr>
        <w:pStyle w:val="Hesber"/>
        <w:rPr>
          <w:rtl/>
        </w:rPr>
      </w:pPr>
      <w:r>
        <w:rPr>
          <w:rFonts w:hint="cs"/>
          <w:rtl/>
        </w:rPr>
        <w:t>הצעת החוק זהה לפ/2501/24 ולפיכך לא נבדקה מחדש על ידי הלשכה המשפטית של הכנסת.</w:t>
      </w:r>
    </w:p>
    <w:p w14:paraId="72EA5D2F" w14:textId="77777777" w:rsidR="005A5015" w:rsidRDefault="00F60F2A">
      <w:pPr>
        <w:jc w:val="left"/>
      </w:pPr>
      <w:bookmarkStart w:id="9" w:name="selectedDocDateB"/>
      <w:bookmarkEnd w:id="9"/>
      <w:r>
        <w:rPr>
          <w:rFonts w:eastAsia="David" w:hint="cs"/>
          <w:sz w:val="26"/>
          <w:szCs w:val="26"/>
          <w:rtl/>
        </w:rPr>
        <w:t>--------------------------------</w:t>
      </w:r>
    </w:p>
    <w:p w14:paraId="2405B70E" w14:textId="77777777" w:rsidR="005A5015" w:rsidRDefault="00F60F2A">
      <w:pPr>
        <w:jc w:val="left"/>
      </w:pPr>
      <w:r>
        <w:rPr>
          <w:rFonts w:eastAsia="David" w:hint="cs"/>
          <w:sz w:val="26"/>
          <w:szCs w:val="26"/>
          <w:rtl/>
        </w:rPr>
        <w:t>הוגשה ליו"ר הכנסת והסגנים</w:t>
      </w:r>
    </w:p>
    <w:p w14:paraId="0A4C6BFB" w14:textId="77777777" w:rsidR="005A5015" w:rsidRDefault="00F60F2A">
      <w:pPr>
        <w:jc w:val="left"/>
      </w:pPr>
      <w:r>
        <w:rPr>
          <w:rFonts w:eastAsia="David" w:hint="cs"/>
          <w:sz w:val="26"/>
          <w:szCs w:val="26"/>
          <w:rtl/>
        </w:rPr>
        <w:t>והונחה על שולחן הכנסת ביום</w:t>
      </w:r>
    </w:p>
    <w:p w14:paraId="30D73222" w14:textId="77777777" w:rsidR="005A5015" w:rsidRDefault="00F60F2A">
      <w:pPr>
        <w:jc w:val="left"/>
      </w:pPr>
      <w:r>
        <w:rPr>
          <w:rFonts w:eastAsia="David" w:hint="cs"/>
          <w:sz w:val="26"/>
          <w:szCs w:val="26"/>
          <w:rtl/>
        </w:rPr>
        <w:t xml:space="preserve">כ' באדר התשפ"ג (13.03.2023) </w:t>
      </w:r>
    </w:p>
    <w:p w14:paraId="049212DD" w14:textId="77777777" w:rsidR="005A5015" w:rsidRDefault="005A5015">
      <w:pPr>
        <w:spacing w:line="276" w:lineRule="auto"/>
        <w:jc w:val="left"/>
      </w:pPr>
    </w:p>
    <w:sectPr w:rsidR="005A501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3135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3483022" w14:textId="77777777" w:rsidR="00D445E9" w:rsidRDefault="00D445E9" w:rsidP="00D445E9">
      <w:pPr>
        <w:pStyle w:val="a4"/>
        <w:rPr>
          <w:rtl/>
        </w:rPr>
      </w:pPr>
      <w:r>
        <w:rPr>
          <w:rStyle w:val="a6"/>
        </w:rPr>
        <w:footnoteRef/>
      </w:r>
      <w:r>
        <w:rPr>
          <w:rtl/>
        </w:rPr>
        <w:t xml:space="preserve"> ס"ח התשכ"ט,</w:t>
      </w:r>
      <w:bookmarkStart w:id="8" w:name="_GoBack"/>
      <w:bookmarkEnd w:id="8"/>
      <w:r>
        <w:rPr>
          <w:rtl/>
        </w:rPr>
        <w:t xml:space="preserve"> עמ'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1356"/>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A5015"/>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445E9"/>
    <w:rsid w:val="00D63620"/>
    <w:rsid w:val="00D8410D"/>
    <w:rsid w:val="00D867D7"/>
    <w:rsid w:val="00DB7060"/>
    <w:rsid w:val="00DE3153"/>
    <w:rsid w:val="00E06736"/>
    <w:rsid w:val="00E13C27"/>
    <w:rsid w:val="00E27A1B"/>
    <w:rsid w:val="00E33BBD"/>
    <w:rsid w:val="00E374F2"/>
    <w:rsid w:val="00E45103"/>
    <w:rsid w:val="00E55A60"/>
    <w:rsid w:val="00E62778"/>
    <w:rsid w:val="00E635A2"/>
    <w:rsid w:val="00E63D38"/>
    <w:rsid w:val="00E665B9"/>
    <w:rsid w:val="00EA01E6"/>
    <w:rsid w:val="00EA3DE8"/>
    <w:rsid w:val="00EA758F"/>
    <w:rsid w:val="00ED4A6F"/>
    <w:rsid w:val="00EF3A3A"/>
    <w:rsid w:val="00F60F2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0DF719C-101C-44ED-874C-B56C7FC7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A1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27A1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27A1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27A1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27A1B"/>
    <w:pPr>
      <w:spacing w:before="40" w:after="120"/>
      <w:ind w:left="0"/>
      <w:outlineLvl w:val="3"/>
    </w:pPr>
    <w:rPr>
      <w:b/>
      <w:bCs/>
      <w:color w:val="000000" w:themeColor="text1"/>
      <w:szCs w:val="28"/>
    </w:rPr>
  </w:style>
  <w:style w:type="paragraph" w:styleId="5">
    <w:name w:val="heading 5"/>
    <w:basedOn w:val="a"/>
    <w:next w:val="a"/>
    <w:link w:val="50"/>
    <w:uiPriority w:val="9"/>
    <w:unhideWhenUsed/>
    <w:qFormat/>
    <w:rsid w:val="00E27A1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27A1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27A1B"/>
    <w:rPr>
      <w:sz w:val="36"/>
      <w:szCs w:val="52"/>
    </w:rPr>
  </w:style>
  <w:style w:type="paragraph" w:customStyle="1" w:styleId="Cover3-Haknesset">
    <w:name w:val="Cover 3-Haknesset"/>
    <w:basedOn w:val="Cover1-Reshumot"/>
    <w:rsid w:val="00E27A1B"/>
    <w:rPr>
      <w:b/>
      <w:bCs/>
      <w:spacing w:val="60"/>
    </w:rPr>
  </w:style>
  <w:style w:type="paragraph" w:customStyle="1" w:styleId="Cover4-Date">
    <w:name w:val="Cover 4-Date"/>
    <w:basedOn w:val="a"/>
    <w:rsid w:val="00E27A1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27A1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27A1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27A1B"/>
    <w:pPr>
      <w:spacing w:before="120" w:after="120"/>
    </w:pPr>
    <w:rPr>
      <w:color w:val="FF0000"/>
      <w:w w:val="80"/>
    </w:rPr>
  </w:style>
  <w:style w:type="paragraph" w:styleId="a3">
    <w:name w:val="endnote text"/>
    <w:basedOn w:val="a"/>
    <w:semiHidden/>
    <w:rsid w:val="00E27A1B"/>
    <w:pPr>
      <w:ind w:left="227" w:hanging="227"/>
    </w:pPr>
    <w:rPr>
      <w:sz w:val="14"/>
      <w:szCs w:val="22"/>
    </w:rPr>
  </w:style>
  <w:style w:type="paragraph" w:customStyle="1" w:styleId="TableText">
    <w:name w:val="Table Text"/>
    <w:basedOn w:val="a"/>
    <w:rsid w:val="00E27A1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27A1B"/>
    <w:pPr>
      <w:outlineLvl w:val="2"/>
    </w:pPr>
  </w:style>
  <w:style w:type="paragraph" w:customStyle="1" w:styleId="TableBlock">
    <w:name w:val="Table Block"/>
    <w:basedOn w:val="TableText"/>
    <w:rsid w:val="00E27A1B"/>
    <w:pPr>
      <w:jc w:val="both"/>
    </w:pPr>
  </w:style>
  <w:style w:type="paragraph" w:customStyle="1" w:styleId="TableHead">
    <w:name w:val="Table Head"/>
    <w:basedOn w:val="TableText"/>
    <w:rsid w:val="00E27A1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27A1B"/>
    <w:pPr>
      <w:outlineLvl w:val="9"/>
    </w:pPr>
  </w:style>
  <w:style w:type="paragraph" w:customStyle="1" w:styleId="Hesber">
    <w:name w:val="Hesber"/>
    <w:basedOn w:val="a"/>
    <w:rsid w:val="00E27A1B"/>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E27A1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E27A1B"/>
    <w:rPr>
      <w:vertAlign w:val="superscript"/>
    </w:rPr>
  </w:style>
  <w:style w:type="paragraph" w:customStyle="1" w:styleId="HesberHeading">
    <w:name w:val="Hesber Heading"/>
    <w:basedOn w:val="Hesber"/>
    <w:rsid w:val="00E27A1B"/>
    <w:pPr>
      <w:tabs>
        <w:tab w:val="left" w:pos="624"/>
        <w:tab w:val="left" w:pos="1247"/>
      </w:tabs>
    </w:pPr>
    <w:rPr>
      <w:b/>
      <w:bCs/>
    </w:rPr>
  </w:style>
  <w:style w:type="paragraph" w:customStyle="1" w:styleId="HesberWriters">
    <w:name w:val="Hesber Writers"/>
    <w:basedOn w:val="Hesber"/>
    <w:rsid w:val="00E27A1B"/>
    <w:pPr>
      <w:spacing w:before="120" w:after="120"/>
      <w:ind w:left="1418"/>
      <w:jc w:val="right"/>
    </w:pPr>
    <w:rPr>
      <w:b/>
      <w:bCs/>
    </w:rPr>
  </w:style>
  <w:style w:type="paragraph" w:customStyle="1" w:styleId="Hesber1st">
    <w:name w:val="Hesber 1st"/>
    <w:basedOn w:val="Hesber"/>
    <w:rsid w:val="00E27A1B"/>
    <w:pPr>
      <w:tabs>
        <w:tab w:val="left" w:pos="680"/>
        <w:tab w:val="left" w:pos="1020"/>
      </w:tabs>
      <w:ind w:firstLine="0"/>
    </w:pPr>
  </w:style>
  <w:style w:type="character" w:styleId="a7">
    <w:name w:val="endnote reference"/>
    <w:basedOn w:val="a0"/>
    <w:semiHidden/>
    <w:rsid w:val="00E27A1B"/>
    <w:rPr>
      <w:vertAlign w:val="superscript"/>
    </w:rPr>
  </w:style>
  <w:style w:type="paragraph" w:customStyle="1" w:styleId="TableBlockOutdent">
    <w:name w:val="Table BlockOutdent"/>
    <w:basedOn w:val="TableBlock"/>
    <w:rsid w:val="00E27A1B"/>
    <w:pPr>
      <w:ind w:left="624" w:hanging="624"/>
    </w:pPr>
  </w:style>
  <w:style w:type="paragraph" w:styleId="a8">
    <w:name w:val="header"/>
    <w:basedOn w:val="a"/>
    <w:rsid w:val="00E27A1B"/>
    <w:pPr>
      <w:tabs>
        <w:tab w:val="center" w:pos="4153"/>
        <w:tab w:val="right" w:pos="8306"/>
      </w:tabs>
    </w:pPr>
  </w:style>
  <w:style w:type="paragraph" w:styleId="a9">
    <w:name w:val="footer"/>
    <w:basedOn w:val="a"/>
    <w:rsid w:val="00E27A1B"/>
    <w:pPr>
      <w:tabs>
        <w:tab w:val="center" w:pos="4153"/>
        <w:tab w:val="right" w:pos="8306"/>
      </w:tabs>
    </w:pPr>
  </w:style>
  <w:style w:type="paragraph" w:customStyle="1" w:styleId="HeadDivreiHesber">
    <w:name w:val="Head DivreiHesber"/>
    <w:basedOn w:val="a"/>
    <w:rsid w:val="00E27A1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27A1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27A1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445E9"/>
    <w:rPr>
      <w:rFonts w:ascii="Arial" w:eastAsia="Arial Unicode MS" w:hAnsi="Arial" w:cs="David"/>
      <w:snapToGrid w:val="0"/>
      <w:sz w:val="14"/>
    </w:rPr>
  </w:style>
  <w:style w:type="table" w:styleId="ae">
    <w:name w:val="Table Grid"/>
    <w:basedOn w:val="a1"/>
    <w:rsid w:val="00E2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E27A1B"/>
    <w:rPr>
      <w:rFonts w:asciiTheme="majorHAnsi" w:eastAsiaTheme="majorEastAsia" w:hAnsiTheme="majorHAnsi" w:cs="David"/>
      <w:bCs/>
      <w:sz w:val="32"/>
      <w:szCs w:val="36"/>
    </w:rPr>
  </w:style>
  <w:style w:type="character" w:customStyle="1" w:styleId="20">
    <w:name w:val="כותרת 2 תו"/>
    <w:basedOn w:val="a0"/>
    <w:link w:val="2"/>
    <w:rsid w:val="00E27A1B"/>
    <w:rPr>
      <w:rFonts w:asciiTheme="majorHAnsi" w:eastAsiaTheme="majorEastAsia" w:hAnsiTheme="majorHAnsi" w:cs="David"/>
      <w:bCs/>
      <w:sz w:val="26"/>
      <w:szCs w:val="36"/>
      <w:u w:val="single"/>
    </w:rPr>
  </w:style>
  <w:style w:type="character" w:customStyle="1" w:styleId="30">
    <w:name w:val="כותרת 3 תו"/>
    <w:basedOn w:val="a0"/>
    <w:link w:val="3"/>
    <w:rsid w:val="00E27A1B"/>
    <w:rPr>
      <w:rFonts w:asciiTheme="majorHAnsi" w:eastAsiaTheme="majorEastAsia" w:hAnsiTheme="majorHAnsi" w:cs="David"/>
      <w:sz w:val="24"/>
      <w:szCs w:val="28"/>
      <w:u w:val="double"/>
    </w:rPr>
  </w:style>
  <w:style w:type="character" w:customStyle="1" w:styleId="40">
    <w:name w:val="כותרת 4 תו"/>
    <w:basedOn w:val="a0"/>
    <w:link w:val="4"/>
    <w:uiPriority w:val="9"/>
    <w:rsid w:val="00E27A1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27A1B"/>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E27A1B"/>
    <w:pPr>
      <w:widowControl/>
      <w:spacing w:before="120" w:after="120"/>
      <w:outlineLvl w:val="9"/>
    </w:pPr>
    <w:rPr>
      <w:rtl/>
      <w:cs/>
    </w:rPr>
  </w:style>
  <w:style w:type="paragraph" w:styleId="TOC1">
    <w:name w:val="toc 1"/>
    <w:basedOn w:val="a"/>
    <w:next w:val="a"/>
    <w:autoRedefine/>
    <w:uiPriority w:val="39"/>
    <w:unhideWhenUsed/>
    <w:rsid w:val="00E27A1B"/>
    <w:pPr>
      <w:tabs>
        <w:tab w:val="right" w:leader="dot" w:pos="9629"/>
      </w:tabs>
      <w:spacing w:after="100"/>
    </w:pPr>
    <w:rPr>
      <w:bCs/>
      <w:szCs w:val="22"/>
    </w:rPr>
  </w:style>
  <w:style w:type="paragraph" w:styleId="TOC2">
    <w:name w:val="toc 2"/>
    <w:basedOn w:val="a"/>
    <w:next w:val="a"/>
    <w:uiPriority w:val="39"/>
    <w:unhideWhenUsed/>
    <w:rsid w:val="00E27A1B"/>
    <w:pPr>
      <w:tabs>
        <w:tab w:val="right" w:leader="dot" w:pos="9628"/>
      </w:tabs>
      <w:spacing w:after="100"/>
    </w:pPr>
    <w:rPr>
      <w:szCs w:val="22"/>
    </w:rPr>
  </w:style>
  <w:style w:type="character" w:styleId="Hyperlink">
    <w:name w:val="Hyperlink"/>
    <w:basedOn w:val="a0"/>
    <w:uiPriority w:val="99"/>
    <w:unhideWhenUsed/>
    <w:rsid w:val="00E27A1B"/>
    <w:rPr>
      <w:color w:val="0000FF" w:themeColor="hyperlink"/>
      <w:u w:val="single"/>
    </w:rPr>
  </w:style>
  <w:style w:type="paragraph" w:styleId="TOC3">
    <w:name w:val="toc 3"/>
    <w:basedOn w:val="a"/>
    <w:next w:val="a"/>
    <w:uiPriority w:val="39"/>
    <w:unhideWhenUsed/>
    <w:rsid w:val="00E27A1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27A1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27A1B"/>
    <w:pPr>
      <w:tabs>
        <w:tab w:val="right" w:leader="dot" w:pos="9628"/>
      </w:tabs>
      <w:spacing w:after="100"/>
      <w:ind w:left="567"/>
    </w:pPr>
    <w:rPr>
      <w:szCs w:val="22"/>
    </w:rPr>
  </w:style>
  <w:style w:type="paragraph" w:styleId="TOC6">
    <w:name w:val="toc 6"/>
    <w:basedOn w:val="a"/>
    <w:next w:val="a"/>
    <w:autoRedefine/>
    <w:semiHidden/>
    <w:unhideWhenUsed/>
    <w:rsid w:val="00E27A1B"/>
    <w:pPr>
      <w:spacing w:after="100"/>
      <w:ind w:left="850"/>
    </w:pPr>
  </w:style>
  <w:style w:type="paragraph" w:styleId="TOC7">
    <w:name w:val="toc 7"/>
    <w:basedOn w:val="a"/>
    <w:next w:val="a"/>
    <w:autoRedefine/>
    <w:semiHidden/>
    <w:unhideWhenUsed/>
    <w:rsid w:val="00E27A1B"/>
    <w:pPr>
      <w:spacing w:after="100"/>
      <w:ind w:left="1020"/>
    </w:pPr>
  </w:style>
  <w:style w:type="paragraph" w:styleId="TOC8">
    <w:name w:val="toc 8"/>
    <w:basedOn w:val="a"/>
    <w:next w:val="a"/>
    <w:autoRedefine/>
    <w:semiHidden/>
    <w:unhideWhenUsed/>
    <w:rsid w:val="00E27A1B"/>
    <w:pPr>
      <w:spacing w:after="100"/>
      <w:ind w:left="1190"/>
    </w:pPr>
  </w:style>
  <w:style w:type="paragraph" w:styleId="TOC9">
    <w:name w:val="toc 9"/>
    <w:basedOn w:val="a"/>
    <w:next w:val="a"/>
    <w:autoRedefine/>
    <w:semiHidden/>
    <w:unhideWhenUsed/>
    <w:rsid w:val="00E27A1B"/>
    <w:pPr>
      <w:spacing w:after="100"/>
      <w:ind w:left="1360"/>
    </w:pPr>
  </w:style>
  <w:style w:type="paragraph" w:customStyle="1" w:styleId="TableHead2">
    <w:name w:val="Table Head2"/>
    <w:basedOn w:val="TableHead"/>
    <w:qFormat/>
    <w:rsid w:val="00E27A1B"/>
    <w:pPr>
      <w:outlineLvl w:val="9"/>
    </w:pPr>
  </w:style>
  <w:style w:type="paragraph" w:customStyle="1" w:styleId="TableSideHeading2">
    <w:name w:val="Table SideHeading2"/>
    <w:basedOn w:val="TableSideHeading"/>
    <w:autoRedefine/>
    <w:qFormat/>
    <w:rsid w:val="00E27A1B"/>
    <w:pPr>
      <w:keepLines w:val="0"/>
      <w:outlineLvl w:val="9"/>
    </w:pPr>
  </w:style>
  <w:style w:type="paragraph" w:customStyle="1" w:styleId="0">
    <w:name w:val="סגנון שורה ראשונה:  0  ס''מ"/>
    <w:basedOn w:val="2"/>
    <w:rsid w:val="00E27A1B"/>
    <w:rPr>
      <w:rFonts w:eastAsia="Times New Roman"/>
    </w:rPr>
  </w:style>
  <w:style w:type="paragraph" w:styleId="af0">
    <w:name w:val="List Paragraph"/>
    <w:basedOn w:val="a"/>
    <w:uiPriority w:val="34"/>
    <w:qFormat/>
    <w:rsid w:val="00E27A1B"/>
    <w:pPr>
      <w:widowControl/>
      <w:spacing w:line="259" w:lineRule="auto"/>
    </w:pPr>
    <w:rPr>
      <w:rFonts w:asciiTheme="minorHAnsi" w:hAnsiTheme="minorHAnsi"/>
      <w:sz w:val="22"/>
    </w:rPr>
  </w:style>
  <w:style w:type="table" w:styleId="11">
    <w:name w:val="Plain Table 1"/>
    <w:basedOn w:val="a1"/>
    <w:uiPriority w:val="41"/>
    <w:rsid w:val="00E27A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27A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27A1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27A1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CBAD2807-7182-46A0-B476-AC76D21E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D1FAA92-A191-4E71-A94E-8F4CF912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1245</Characters>
  <Application>Microsoft Office Word</Application>
  <DocSecurity>0</DocSecurity>
  <Lines>10</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2023-03-09T10:25:00Z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2202672</vt:r8>
  </property>
</Properties>
</file>