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2196707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וחמש</w:t>
      </w:r>
      <w:bookmarkEnd w:id="1"/>
    </w:p>
    <w:p w:rsidRPr="00F67051" w:rsidR="00E13C27" w:rsidP="00E13C27" w:rsidRDefault="00E13C27" w14:paraId="7F6961A3" w14:textId="77777777">
      <w:pPr>
        <w:rPr>
          <w:rFonts w:cs="David"/>
          <w:b/>
          <w:bCs/>
          <w:sz w:val="26"/>
          <w:szCs w:val="26"/>
          <w:rtl/>
        </w:rPr>
      </w:pPr>
    </w:p>
    <w:p w:rsidRPr="00CF1AA2" w:rsidR="00E13C27" w:rsidP="00052F15" w:rsidRDefault="008F6665" w14:paraId="7F6961AA" w14:textId="41417347">
      <w:pPr>
        <w:pStyle w:val="David"/>
        <w:spacing w:line="360" w:lineRule="auto"/>
        <w:ind w:left="3544"/>
        <w:rPr>
          <w:b/>
          <w:bCs/>
          <w:sz w:val="16"/>
          <w:szCs w:val="16"/>
          <w:rtl/>
        </w:rPr>
      </w:pPr>
      <w:bookmarkStart w:name="LGS_Initiators_List" w:id="2"/>
      <w:r>
        <w:rPr>
          <w:b/>
          <w:bCs/>
          <w:rtl/>
        </w:rPr>
        <w:t>יוזמים:      חברי הכנסת</w:t>
      </w:r>
      <w:bookmarkEnd w:id="2"/>
      <w:r w:rsidRPr="00F67051" w:rsidR="00B35784">
        <w:rPr>
          <w:b/>
          <w:bCs/>
        </w:rPr>
        <w:tab/>
      </w:r>
      <w:bookmarkStart w:name="LGS_PM_Names" w:id="3"/>
      <w:r>
        <w:rPr>
          <w:rFonts w:hint="cs"/>
          <w:b/>
          <w:bCs/>
          <w:rtl/>
        </w:rPr>
        <w:t>מיכאל מלכיאלי</w:t>
      </w:r>
      <w:r>
        <w:br/>
      </w:r>
      <w:r>
        <w:rPr>
          <w:rFonts w:hint="cs"/>
          <w:b/>
          <w:bCs/>
          <w:rtl/>
        </w:rPr>
        <w:t xml:space="preserve"> </w:t>
      </w:r>
      <w:r>
        <w:tab/>
      </w:r>
      <w:r>
        <w:tab/>
      </w:r>
      <w:r>
        <w:tab/>
      </w:r>
      <w:r>
        <w:tab/>
      </w:r>
      <w:r>
        <w:rPr>
          <w:rFonts w:hint="cs"/>
          <w:b/>
          <w:bCs/>
          <w:rtl/>
        </w:rPr>
        <w:t>אוריאל בוסו</w:t>
      </w:r>
      <w:bookmarkStart w:name="LGS_Join_List" w:id="4"/>
      <w:bookmarkEnd w:id="3"/>
      <w:r w:rsidR="007D585A">
        <w:rPr>
          <w:rtl/>
        </w:rPr>
        <w:t xml:space="preserve"> </w:t>
      </w:r>
      <w:bookmarkEnd w:id="4"/>
      <w:r w:rsidRPr="00CF1AA2" w:rsidR="002200A1">
        <w:rPr>
          <w:rFonts w:hint="cs"/>
          <w:rtl/>
        </w:rPr>
        <w:tab/>
      </w:r>
      <w:bookmarkStart w:name="LGS_PM_NamesJoin" w:id="5"/>
      <w:r w:rsidR="007D585A">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052F15" w:rsidRDefault="00904591" w14:paraId="7F6961AB" w14:textId="0027DA49">
      <w:pPr>
        <w:pStyle w:val="David"/>
        <w:spacing w:before="0" w:line="240" w:lineRule="auto"/>
        <w:ind w:left="6424" w:firstLine="56"/>
        <w:rPr>
          <w:rtl/>
        </w:rPr>
      </w:pPr>
      <w:bookmarkStart w:name="Private_Number" w:id="6"/>
      <w:r>
        <w:rPr>
          <w:rFonts w:hint="cs"/>
          <w:rtl/>
        </w:rPr>
        <w:t>פ/456/25</w:t>
      </w:r>
      <w:bookmarkEnd w:id="6"/>
    </w:p>
    <w:p w:rsidR="00E13C27" w:rsidP="0021633A" w:rsidRDefault="00A443CF" w14:paraId="7F6961AD" w14:textId="6F8FC30E">
      <w:pPr>
        <w:pStyle w:val="HeadHatzaotHok"/>
        <w:rPr>
          <w:rtl/>
        </w:rPr>
      </w:pPr>
      <w:bookmarkStart w:name="LGS_Subject" w:id="7"/>
      <w:r>
        <w:rPr>
          <w:rFonts w:hint="cs"/>
          <w:rtl/>
        </w:rPr>
        <w:t>הצעת חוק שמירת הקדושה של הכותל המערבי ורחבתו, התשפ"ג</w:t>
      </w:r>
      <w:r w:rsidR="001937B5">
        <w:rPr>
          <w:rFonts w:hint="eastAsia"/>
          <w:rtl/>
        </w:rPr>
        <w:t>–</w:t>
      </w:r>
      <w:r>
        <w:rPr>
          <w:rFonts w:hint="cs"/>
          <w:rtl/>
        </w:rPr>
        <w:t>2022</w:t>
      </w:r>
      <w:bookmarkEnd w:id="7"/>
    </w:p>
    <w:p w:rsidR="00052F15" w:rsidP="0021633A" w:rsidRDefault="00052F15" w14:paraId="6F191409" w14:textId="77777777">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Pr="00265E49" w:rsidR="002206F8" w:rsidTr="009974B9" w14:paraId="03E9041B" w14:textId="77777777">
        <w:trPr>
          <w:cantSplit/>
        </w:trPr>
        <w:tc>
          <w:tcPr>
            <w:tcW w:w="1871" w:type="dxa"/>
          </w:tcPr>
          <w:p w:rsidR="002206F8" w:rsidP="009974B9" w:rsidRDefault="002206F8" w14:paraId="70433653" w14:textId="77777777">
            <w:pPr>
              <w:pStyle w:val="TableSideHeading"/>
              <w:keepLines w:val="0"/>
            </w:pPr>
            <w:r w:rsidRPr="00806127">
              <w:rPr>
                <w:rFonts w:hint="cs"/>
                <w:sz w:val="26"/>
                <w:rtl/>
              </w:rPr>
              <w:t>הגדרות</w:t>
            </w:r>
          </w:p>
        </w:tc>
        <w:tc>
          <w:tcPr>
            <w:tcW w:w="624" w:type="dxa"/>
          </w:tcPr>
          <w:p w:rsidR="002206F8" w:rsidP="009974B9" w:rsidRDefault="002206F8" w14:paraId="5D880F1A" w14:textId="77777777">
            <w:pPr>
              <w:pStyle w:val="TableText"/>
              <w:keepLines w:val="0"/>
            </w:pPr>
            <w:r>
              <w:rPr>
                <w:rFonts w:hint="cs"/>
                <w:rtl/>
              </w:rPr>
              <w:t>1.</w:t>
            </w:r>
          </w:p>
        </w:tc>
        <w:tc>
          <w:tcPr>
            <w:tcW w:w="7143" w:type="dxa"/>
            <w:gridSpan w:val="2"/>
          </w:tcPr>
          <w:p w:rsidRPr="00265E49" w:rsidR="002206F8" w:rsidP="009974B9" w:rsidRDefault="002206F8" w14:paraId="47B84983" w14:textId="77777777">
            <w:pPr>
              <w:pStyle w:val="TableBlock"/>
            </w:pPr>
            <w:r w:rsidRPr="00265E49">
              <w:rPr>
                <w:rFonts w:hint="cs"/>
                <w:rtl/>
              </w:rPr>
              <w:t xml:space="preserve">בחוק זה </w:t>
            </w:r>
            <w:r w:rsidRPr="00265E49">
              <w:rPr>
                <w:rFonts w:hint="eastAsia"/>
                <w:rtl/>
              </w:rPr>
              <w:t>–</w:t>
            </w:r>
          </w:p>
        </w:tc>
      </w:tr>
      <w:tr w:rsidR="002206F8" w:rsidTr="009974B9" w14:paraId="6A432395" w14:textId="77777777">
        <w:trPr>
          <w:cantSplit/>
        </w:trPr>
        <w:tc>
          <w:tcPr>
            <w:tcW w:w="1871" w:type="dxa"/>
          </w:tcPr>
          <w:p w:rsidR="002206F8" w:rsidP="009974B9" w:rsidRDefault="002206F8" w14:paraId="1D4F274C" w14:textId="77777777">
            <w:pPr>
              <w:pStyle w:val="TableSideHeading"/>
              <w:keepLines w:val="0"/>
              <w:rPr>
                <w:rtl/>
              </w:rPr>
            </w:pPr>
          </w:p>
        </w:tc>
        <w:tc>
          <w:tcPr>
            <w:tcW w:w="624" w:type="dxa"/>
          </w:tcPr>
          <w:p w:rsidR="002206F8" w:rsidP="009974B9" w:rsidRDefault="002206F8" w14:paraId="00A35DE3" w14:textId="77777777">
            <w:pPr>
              <w:pStyle w:val="TableText"/>
              <w:rPr>
                <w:rtl/>
              </w:rPr>
            </w:pPr>
          </w:p>
        </w:tc>
        <w:tc>
          <w:tcPr>
            <w:tcW w:w="7143" w:type="dxa"/>
            <w:gridSpan w:val="2"/>
          </w:tcPr>
          <w:p w:rsidR="002206F8" w:rsidP="009974B9" w:rsidRDefault="002206F8" w14:paraId="165587B0" w14:textId="56BD60EA">
            <w:pPr>
              <w:pStyle w:val="TableBlockOutdent"/>
              <w:rPr>
                <w:rtl/>
              </w:rPr>
            </w:pPr>
            <w:r>
              <w:rPr>
                <w:rFonts w:hint="cs"/>
                <w:b/>
                <w:bCs/>
                <w:rtl/>
              </w:rPr>
              <w:t>"</w:t>
            </w:r>
            <w:r>
              <w:rPr>
                <w:rFonts w:hint="cs"/>
                <w:rtl/>
              </w:rPr>
              <w:t xml:space="preserve">הכותל המערבי" </w:t>
            </w:r>
            <w:r>
              <w:rPr>
                <w:rtl/>
              </w:rPr>
              <w:t>–</w:t>
            </w:r>
            <w:r w:rsidRPr="00806127">
              <w:rPr>
                <w:rFonts w:hint="cs"/>
                <w:rtl/>
              </w:rPr>
              <w:t xml:space="preserve"> הכותל המערבי ורחבתו, לרבות כל מבנה וכל מעבר עילי או תת</w:t>
            </w:r>
            <w:r w:rsidR="009B1959">
              <w:rPr>
                <w:rFonts w:hint="cs"/>
                <w:rtl/>
              </w:rPr>
              <w:t>–</w:t>
            </w:r>
            <w:r w:rsidRPr="00806127">
              <w:rPr>
                <w:rFonts w:hint="cs"/>
                <w:rtl/>
              </w:rPr>
              <w:t>קרקעי שהכניסה אליהם היא מתוך הרחבה</w:t>
            </w:r>
            <w:r>
              <w:rPr>
                <w:rFonts w:hint="cs"/>
                <w:rtl/>
              </w:rPr>
              <w:t>;</w:t>
            </w:r>
          </w:p>
        </w:tc>
      </w:tr>
      <w:tr w:rsidRPr="00806127" w:rsidR="002206F8" w:rsidTr="009974B9" w14:paraId="0F5C21C5" w14:textId="77777777">
        <w:trPr>
          <w:cantSplit/>
        </w:trPr>
        <w:tc>
          <w:tcPr>
            <w:tcW w:w="1871" w:type="dxa"/>
          </w:tcPr>
          <w:p w:rsidR="002206F8" w:rsidP="009974B9" w:rsidRDefault="002206F8" w14:paraId="2CB8FCC2" w14:textId="77777777">
            <w:pPr>
              <w:pStyle w:val="TableSideHeading"/>
              <w:keepLines w:val="0"/>
              <w:rPr>
                <w:rtl/>
              </w:rPr>
            </w:pPr>
          </w:p>
        </w:tc>
        <w:tc>
          <w:tcPr>
            <w:tcW w:w="624" w:type="dxa"/>
          </w:tcPr>
          <w:p w:rsidR="002206F8" w:rsidP="009974B9" w:rsidRDefault="002206F8" w14:paraId="4FC576BE" w14:textId="77777777">
            <w:pPr>
              <w:pStyle w:val="TableText"/>
              <w:rPr>
                <w:rtl/>
              </w:rPr>
            </w:pPr>
          </w:p>
        </w:tc>
        <w:tc>
          <w:tcPr>
            <w:tcW w:w="7143" w:type="dxa"/>
            <w:gridSpan w:val="2"/>
          </w:tcPr>
          <w:p w:rsidRPr="00806127" w:rsidR="002206F8" w:rsidP="009974B9" w:rsidRDefault="002206F8" w14:paraId="65692FD0" w14:textId="77777777">
            <w:pPr>
              <w:pStyle w:val="TableBlockOutdent"/>
              <w:rPr>
                <w:rtl/>
              </w:rPr>
            </w:pPr>
            <w:r w:rsidRPr="006171AE">
              <w:rPr>
                <w:rFonts w:hint="cs"/>
                <w:rtl/>
              </w:rPr>
              <w:t>"</w:t>
            </w:r>
            <w:r w:rsidRPr="006171AE">
              <w:rPr>
                <w:snapToGrid/>
                <w:sz w:val="26"/>
                <w:rtl/>
              </w:rPr>
              <w:t>הממונה</w:t>
            </w:r>
            <w:r w:rsidRPr="006171AE">
              <w:rPr>
                <w:rFonts w:hint="cs"/>
                <w:rtl/>
              </w:rPr>
              <w:t>"</w:t>
            </w:r>
            <w:r>
              <w:rPr>
                <w:rFonts w:hint="cs"/>
                <w:rtl/>
              </w:rPr>
              <w:t xml:space="preserve"> או "הרב הממונה"</w:t>
            </w:r>
            <w:r w:rsidRPr="00806127">
              <w:rPr>
                <w:rFonts w:hint="cs"/>
                <w:rtl/>
              </w:rPr>
              <w:t xml:space="preserve"> </w:t>
            </w:r>
            <w:r>
              <w:rPr>
                <w:rFonts w:hint="eastAsia"/>
                <w:rtl/>
              </w:rPr>
              <w:t>–</w:t>
            </w:r>
            <w:r w:rsidRPr="00806127">
              <w:rPr>
                <w:rFonts w:hint="cs"/>
                <w:rtl/>
              </w:rPr>
              <w:t xml:space="preserve"> </w:t>
            </w:r>
            <w:r>
              <w:rPr>
                <w:rFonts w:hint="cs"/>
                <w:rtl/>
              </w:rPr>
              <w:t>רב</w:t>
            </w:r>
            <w:r w:rsidRPr="00806127">
              <w:rPr>
                <w:rFonts w:hint="cs"/>
                <w:rtl/>
              </w:rPr>
              <w:t xml:space="preserve"> שהשר מינה, </w:t>
            </w:r>
            <w:r>
              <w:rPr>
                <w:rFonts w:hint="cs"/>
                <w:rtl/>
              </w:rPr>
              <w:t xml:space="preserve">לפי סעיף 2 </w:t>
            </w:r>
            <w:r w:rsidRPr="00806127">
              <w:rPr>
                <w:rFonts w:hint="cs"/>
                <w:rtl/>
              </w:rPr>
              <w:t>להיות הממונה הראשי על הכותל</w:t>
            </w:r>
            <w:r>
              <w:rPr>
                <w:rFonts w:hint="cs"/>
                <w:rtl/>
              </w:rPr>
              <w:t xml:space="preserve"> המערבי; </w:t>
            </w:r>
          </w:p>
        </w:tc>
      </w:tr>
      <w:tr w:rsidRPr="00806127" w:rsidR="002206F8" w:rsidTr="009974B9" w14:paraId="5D3ED4FC" w14:textId="77777777">
        <w:trPr>
          <w:cantSplit/>
        </w:trPr>
        <w:tc>
          <w:tcPr>
            <w:tcW w:w="1871" w:type="dxa"/>
          </w:tcPr>
          <w:p w:rsidR="002206F8" w:rsidP="009974B9" w:rsidRDefault="002206F8" w14:paraId="5C8848EC" w14:textId="77777777">
            <w:pPr>
              <w:pStyle w:val="TableSideHeading"/>
              <w:keepLines w:val="0"/>
              <w:rPr>
                <w:rtl/>
              </w:rPr>
            </w:pPr>
          </w:p>
        </w:tc>
        <w:tc>
          <w:tcPr>
            <w:tcW w:w="624" w:type="dxa"/>
          </w:tcPr>
          <w:p w:rsidR="002206F8" w:rsidP="009974B9" w:rsidRDefault="002206F8" w14:paraId="73627513" w14:textId="77777777">
            <w:pPr>
              <w:pStyle w:val="TableText"/>
              <w:rPr>
                <w:rtl/>
              </w:rPr>
            </w:pPr>
          </w:p>
        </w:tc>
        <w:tc>
          <w:tcPr>
            <w:tcW w:w="7143" w:type="dxa"/>
            <w:gridSpan w:val="2"/>
          </w:tcPr>
          <w:p w:rsidRPr="00806127" w:rsidR="002206F8" w:rsidP="009974B9" w:rsidRDefault="002206F8" w14:paraId="233256F6" w14:textId="77777777">
            <w:pPr>
              <w:pStyle w:val="TableBlockOutdent"/>
              <w:rPr>
                <w:rtl/>
              </w:rPr>
            </w:pPr>
            <w:r w:rsidRPr="00806127">
              <w:rPr>
                <w:rFonts w:hint="cs"/>
                <w:rtl/>
              </w:rPr>
              <w:t>"</w:t>
            </w:r>
            <w:r w:rsidRPr="00336107">
              <w:rPr>
                <w:snapToGrid/>
                <w:sz w:val="26"/>
                <w:rtl/>
              </w:rPr>
              <w:t>מנהג המקום</w:t>
            </w:r>
            <w:r w:rsidRPr="005B2AF0">
              <w:rPr>
                <w:rFonts w:hint="cs"/>
                <w:rtl/>
              </w:rPr>
              <w:t>"</w:t>
            </w:r>
            <w:r w:rsidRPr="00806127">
              <w:rPr>
                <w:rFonts w:hint="cs"/>
                <w:rtl/>
              </w:rPr>
              <w:t xml:space="preserve"> </w:t>
            </w:r>
            <w:r w:rsidRPr="00806127">
              <w:rPr>
                <w:rtl/>
              </w:rPr>
              <w:t>–</w:t>
            </w:r>
            <w:r w:rsidRPr="00806127">
              <w:rPr>
                <w:rFonts w:hint="cs"/>
                <w:rtl/>
              </w:rPr>
              <w:t xml:space="preserve"> </w:t>
            </w:r>
            <w:r>
              <w:rPr>
                <w:rFonts w:hint="cs"/>
                <w:rtl/>
              </w:rPr>
              <w:t>מנהג המקום ל</w:t>
            </w:r>
            <w:r w:rsidRPr="00806127">
              <w:rPr>
                <w:rFonts w:hint="cs"/>
                <w:rtl/>
              </w:rPr>
              <w:t>פי דין תורה</w:t>
            </w:r>
            <w:r>
              <w:rPr>
                <w:rFonts w:hint="cs"/>
                <w:rtl/>
              </w:rPr>
              <w:t>,</w:t>
            </w:r>
            <w:r w:rsidRPr="00806127">
              <w:rPr>
                <w:rFonts w:hint="cs"/>
                <w:rtl/>
              </w:rPr>
              <w:t xml:space="preserve"> ש</w:t>
            </w:r>
            <w:r>
              <w:rPr>
                <w:rFonts w:hint="cs"/>
                <w:rtl/>
              </w:rPr>
              <w:t xml:space="preserve">מועצת </w:t>
            </w:r>
            <w:r w:rsidRPr="00806127">
              <w:rPr>
                <w:rFonts w:hint="cs"/>
                <w:rtl/>
              </w:rPr>
              <w:t>הרבנות הראשית לישראל נוהגת לפיו</w:t>
            </w:r>
            <w:r>
              <w:rPr>
                <w:rFonts w:hint="cs"/>
                <w:rtl/>
              </w:rPr>
              <w:t>;</w:t>
            </w:r>
          </w:p>
        </w:tc>
      </w:tr>
      <w:tr w:rsidRPr="00806127" w:rsidR="002206F8" w:rsidTr="009974B9" w14:paraId="2C59114D" w14:textId="77777777">
        <w:trPr>
          <w:cantSplit/>
        </w:trPr>
        <w:tc>
          <w:tcPr>
            <w:tcW w:w="1871" w:type="dxa"/>
          </w:tcPr>
          <w:p w:rsidR="002206F8" w:rsidP="009974B9" w:rsidRDefault="002206F8" w14:paraId="4E7DBB89" w14:textId="77777777">
            <w:pPr>
              <w:pStyle w:val="TableSideHeading"/>
              <w:keepLines w:val="0"/>
              <w:rPr>
                <w:rtl/>
              </w:rPr>
            </w:pPr>
          </w:p>
        </w:tc>
        <w:tc>
          <w:tcPr>
            <w:tcW w:w="624" w:type="dxa"/>
          </w:tcPr>
          <w:p w:rsidR="002206F8" w:rsidP="009974B9" w:rsidRDefault="002206F8" w14:paraId="48905780" w14:textId="77777777">
            <w:pPr>
              <w:pStyle w:val="TableText"/>
              <w:rPr>
                <w:rtl/>
              </w:rPr>
            </w:pPr>
          </w:p>
        </w:tc>
        <w:tc>
          <w:tcPr>
            <w:tcW w:w="7143" w:type="dxa"/>
            <w:gridSpan w:val="2"/>
          </w:tcPr>
          <w:p w:rsidRPr="00806127" w:rsidR="002206F8" w:rsidP="009974B9" w:rsidRDefault="002206F8" w14:paraId="6479B672" w14:textId="77777777">
            <w:pPr>
              <w:pStyle w:val="TableBlockOutdent"/>
              <w:rPr>
                <w:rtl/>
              </w:rPr>
            </w:pPr>
            <w:r w:rsidRPr="00E86F74">
              <w:rPr>
                <w:rFonts w:hint="cs"/>
                <w:rtl/>
              </w:rPr>
              <w:t>"רחבת התפילה"</w:t>
            </w:r>
            <w:r>
              <w:rPr>
                <w:rFonts w:hint="cs"/>
                <w:rtl/>
              </w:rPr>
              <w:t xml:space="preserve"> או "הרחבה"</w:t>
            </w:r>
            <w:r w:rsidRPr="00E86F74">
              <w:rPr>
                <w:rFonts w:hint="cs"/>
                <w:rtl/>
              </w:rPr>
              <w:t xml:space="preserve"> </w:t>
            </w:r>
            <w:r>
              <w:rPr>
                <w:rFonts w:hint="eastAsia"/>
                <w:rtl/>
              </w:rPr>
              <w:t>–</w:t>
            </w:r>
            <w:r>
              <w:rPr>
                <w:rFonts w:hint="cs"/>
                <w:rtl/>
              </w:rPr>
              <w:t xml:space="preserve"> </w:t>
            </w:r>
            <w:r w:rsidRPr="00E86F74">
              <w:rPr>
                <w:rFonts w:hint="cs"/>
                <w:rtl/>
              </w:rPr>
              <w:t>שטח הרחבה המסומן במפה שבתוספת כרחבת הכותל המערבי וכולל</w:t>
            </w:r>
            <w:r>
              <w:rPr>
                <w:rFonts w:hint="cs"/>
                <w:rtl/>
              </w:rPr>
              <w:t xml:space="preserve"> את רחבת התפילה של הכותל המערבי;</w:t>
            </w:r>
          </w:p>
        </w:tc>
      </w:tr>
      <w:tr w:rsidRPr="00806127" w:rsidR="002206F8" w:rsidTr="009974B9" w14:paraId="6FED958F" w14:textId="77777777">
        <w:trPr>
          <w:cantSplit/>
        </w:trPr>
        <w:tc>
          <w:tcPr>
            <w:tcW w:w="1871" w:type="dxa"/>
          </w:tcPr>
          <w:p w:rsidR="002206F8" w:rsidP="009974B9" w:rsidRDefault="002206F8" w14:paraId="6FF9814D" w14:textId="77777777">
            <w:pPr>
              <w:pStyle w:val="TableSideHeading"/>
              <w:keepLines w:val="0"/>
              <w:rPr>
                <w:rtl/>
              </w:rPr>
            </w:pPr>
          </w:p>
        </w:tc>
        <w:tc>
          <w:tcPr>
            <w:tcW w:w="624" w:type="dxa"/>
          </w:tcPr>
          <w:p w:rsidR="002206F8" w:rsidP="009974B9" w:rsidRDefault="002206F8" w14:paraId="51E24801" w14:textId="77777777">
            <w:pPr>
              <w:pStyle w:val="TableText"/>
              <w:rPr>
                <w:rtl/>
              </w:rPr>
            </w:pPr>
          </w:p>
        </w:tc>
        <w:tc>
          <w:tcPr>
            <w:tcW w:w="7143" w:type="dxa"/>
            <w:gridSpan w:val="2"/>
          </w:tcPr>
          <w:p w:rsidRPr="00806127" w:rsidR="002206F8" w:rsidP="009974B9" w:rsidRDefault="002206F8" w14:paraId="70F130E4" w14:textId="77777777">
            <w:pPr>
              <w:pStyle w:val="TableBlockOutdent"/>
              <w:rPr>
                <w:sz w:val="26"/>
                <w:rtl/>
              </w:rPr>
            </w:pPr>
            <w:r>
              <w:rPr>
                <w:rFonts w:hint="cs"/>
                <w:rtl/>
              </w:rPr>
              <w:t xml:space="preserve">"שער האשפות" </w:t>
            </w:r>
            <w:r>
              <w:rPr>
                <w:rtl/>
              </w:rPr>
              <w:t>–</w:t>
            </w:r>
            <w:r>
              <w:rPr>
                <w:rFonts w:hint="cs"/>
                <w:rtl/>
              </w:rPr>
              <w:t xml:space="preserve"> אזור שער האשפות הסמוך לכותל המערבי, כפי שיורה הממונה;</w:t>
            </w:r>
          </w:p>
        </w:tc>
      </w:tr>
      <w:tr w:rsidR="002206F8" w:rsidTr="009974B9" w14:paraId="50B1B896" w14:textId="77777777">
        <w:trPr>
          <w:cantSplit/>
        </w:trPr>
        <w:tc>
          <w:tcPr>
            <w:tcW w:w="1871" w:type="dxa"/>
          </w:tcPr>
          <w:p w:rsidR="002206F8" w:rsidP="009974B9" w:rsidRDefault="002206F8" w14:paraId="088F7D2C" w14:textId="77777777">
            <w:pPr>
              <w:pStyle w:val="TableSideHeading"/>
              <w:keepLines w:val="0"/>
              <w:rPr>
                <w:rtl/>
              </w:rPr>
            </w:pPr>
          </w:p>
        </w:tc>
        <w:tc>
          <w:tcPr>
            <w:tcW w:w="624" w:type="dxa"/>
          </w:tcPr>
          <w:p w:rsidR="002206F8" w:rsidP="009974B9" w:rsidRDefault="002206F8" w14:paraId="03C1BBF5" w14:textId="77777777">
            <w:pPr>
              <w:pStyle w:val="TableText"/>
              <w:rPr>
                <w:rtl/>
              </w:rPr>
            </w:pPr>
          </w:p>
        </w:tc>
        <w:tc>
          <w:tcPr>
            <w:tcW w:w="7143" w:type="dxa"/>
            <w:gridSpan w:val="2"/>
          </w:tcPr>
          <w:p w:rsidR="002206F8" w:rsidP="009974B9" w:rsidRDefault="002206F8" w14:paraId="3A54579B" w14:textId="77777777">
            <w:pPr>
              <w:pStyle w:val="TableBlock"/>
              <w:rPr>
                <w:rtl/>
              </w:rPr>
            </w:pPr>
            <w:r>
              <w:rPr>
                <w:rFonts w:hint="cs"/>
                <w:rtl/>
              </w:rPr>
              <w:t xml:space="preserve">"השר" </w:t>
            </w:r>
            <w:r>
              <w:rPr>
                <w:rtl/>
              </w:rPr>
              <w:t>–</w:t>
            </w:r>
            <w:r>
              <w:rPr>
                <w:rFonts w:hint="cs"/>
                <w:rtl/>
              </w:rPr>
              <w:t xml:space="preserve"> השר לשירותי דת.</w:t>
            </w:r>
          </w:p>
        </w:tc>
      </w:tr>
      <w:tr w:rsidRPr="00C34DE2" w:rsidR="002206F8" w:rsidTr="009974B9" w14:paraId="49C69737" w14:textId="77777777">
        <w:trPr>
          <w:cantSplit/>
        </w:trPr>
        <w:tc>
          <w:tcPr>
            <w:tcW w:w="1871" w:type="dxa"/>
          </w:tcPr>
          <w:p w:rsidR="002206F8" w:rsidP="009974B9" w:rsidRDefault="002206F8" w14:paraId="4D03462E" w14:textId="77777777">
            <w:pPr>
              <w:pStyle w:val="TableSideHeading"/>
            </w:pPr>
            <w:r>
              <w:rPr>
                <w:rFonts w:hint="cs"/>
                <w:rtl/>
              </w:rPr>
              <w:t>מינוי רב ממונה</w:t>
            </w:r>
          </w:p>
        </w:tc>
        <w:tc>
          <w:tcPr>
            <w:tcW w:w="624" w:type="dxa"/>
          </w:tcPr>
          <w:p w:rsidR="002206F8" w:rsidP="009974B9" w:rsidRDefault="002206F8" w14:paraId="11A83DF0" w14:textId="77777777">
            <w:pPr>
              <w:pStyle w:val="TableText"/>
            </w:pPr>
            <w:r>
              <w:rPr>
                <w:rFonts w:hint="cs"/>
                <w:rtl/>
              </w:rPr>
              <w:t>2.</w:t>
            </w:r>
          </w:p>
        </w:tc>
        <w:tc>
          <w:tcPr>
            <w:tcW w:w="7143" w:type="dxa"/>
            <w:gridSpan w:val="2"/>
          </w:tcPr>
          <w:p w:rsidRPr="00C34DE2" w:rsidR="002206F8" w:rsidP="009974B9" w:rsidRDefault="002206F8" w14:paraId="7E5CD0E3" w14:textId="77777777">
            <w:pPr>
              <w:pStyle w:val="TableBlock"/>
            </w:pPr>
            <w:r>
              <w:rPr>
                <w:rFonts w:hint="cs"/>
                <w:rtl/>
              </w:rPr>
              <w:t xml:space="preserve">השר, בהסכמת הרבנים הראשיים לישראל, ימנה רב ממונה על הכותל המערבי; הודעה על מינוי הממונה תפורסם ברשומות. </w:t>
            </w:r>
          </w:p>
        </w:tc>
      </w:tr>
      <w:tr w:rsidRPr="00E86F74" w:rsidR="002206F8" w:rsidTr="009974B9" w14:paraId="18CD660E" w14:textId="77777777">
        <w:trPr>
          <w:cantSplit/>
        </w:trPr>
        <w:tc>
          <w:tcPr>
            <w:tcW w:w="1871" w:type="dxa"/>
          </w:tcPr>
          <w:p w:rsidR="002206F8" w:rsidP="009974B9" w:rsidRDefault="002206F8" w14:paraId="62A3F178" w14:textId="77777777">
            <w:pPr>
              <w:pStyle w:val="TableSideHeading"/>
              <w:keepLines w:val="0"/>
              <w:rPr>
                <w:rtl/>
              </w:rPr>
            </w:pPr>
            <w:r w:rsidRPr="00806127">
              <w:rPr>
                <w:rFonts w:hint="cs"/>
                <w:sz w:val="26"/>
                <w:rtl/>
              </w:rPr>
              <w:t>מעשים אסורים</w:t>
            </w:r>
          </w:p>
        </w:tc>
        <w:tc>
          <w:tcPr>
            <w:tcW w:w="624" w:type="dxa"/>
          </w:tcPr>
          <w:p w:rsidR="002206F8" w:rsidP="009974B9" w:rsidRDefault="002206F8" w14:paraId="4673764A" w14:textId="77777777">
            <w:pPr>
              <w:pStyle w:val="TableText"/>
              <w:rPr>
                <w:rtl/>
              </w:rPr>
            </w:pPr>
            <w:r>
              <w:rPr>
                <w:rFonts w:hint="cs"/>
                <w:rtl/>
              </w:rPr>
              <w:t>3.</w:t>
            </w:r>
          </w:p>
        </w:tc>
        <w:tc>
          <w:tcPr>
            <w:tcW w:w="7143" w:type="dxa"/>
            <w:gridSpan w:val="2"/>
          </w:tcPr>
          <w:p w:rsidRPr="00E86F74" w:rsidR="002206F8" w:rsidP="009974B9" w:rsidRDefault="002206F8" w14:paraId="568DCBB9" w14:textId="77777777">
            <w:pPr>
              <w:pStyle w:val="TableBlock"/>
              <w:rPr>
                <w:rtl/>
              </w:rPr>
            </w:pPr>
            <w:r w:rsidRPr="00806127">
              <w:rPr>
                <w:sz w:val="26"/>
                <w:rtl/>
              </w:rPr>
              <w:t>(</w:t>
            </w:r>
            <w:r w:rsidRPr="00806127">
              <w:rPr>
                <w:rFonts w:hint="cs"/>
                <w:sz w:val="26"/>
                <w:rtl/>
              </w:rPr>
              <w:t>א</w:t>
            </w:r>
            <w:r w:rsidRPr="00806127">
              <w:rPr>
                <w:sz w:val="26"/>
                <w:rtl/>
              </w:rPr>
              <w:t>)</w:t>
            </w:r>
            <w:r w:rsidRPr="00806127">
              <w:rPr>
                <w:sz w:val="26"/>
                <w:rtl/>
              </w:rPr>
              <w:tab/>
            </w:r>
            <w:r w:rsidRPr="00806127">
              <w:rPr>
                <w:rFonts w:hint="cs"/>
                <w:sz w:val="26"/>
                <w:rtl/>
              </w:rPr>
              <w:t xml:space="preserve">בכפוף לאמור בסעיף קטן (ב), </w:t>
            </w:r>
            <w:r w:rsidRPr="00806127">
              <w:rPr>
                <w:sz w:val="26"/>
                <w:rtl/>
              </w:rPr>
              <w:t>ב</w:t>
            </w:r>
            <w:r w:rsidRPr="00806127">
              <w:rPr>
                <w:rFonts w:hint="cs"/>
                <w:sz w:val="26"/>
                <w:rtl/>
              </w:rPr>
              <w:t xml:space="preserve">תחום הכותל המערבי, </w:t>
            </w:r>
            <w:r>
              <w:rPr>
                <w:rFonts w:hint="cs"/>
                <w:sz w:val="26"/>
                <w:rtl/>
              </w:rPr>
              <w:t xml:space="preserve">המעשים  כמפורט להלן, יהיו </w:t>
            </w:r>
            <w:r w:rsidRPr="00806127">
              <w:rPr>
                <w:rFonts w:hint="cs"/>
                <w:sz w:val="26"/>
                <w:rtl/>
              </w:rPr>
              <w:t>אסורים:</w:t>
            </w:r>
          </w:p>
        </w:tc>
      </w:tr>
      <w:tr w:rsidRPr="00265E49" w:rsidR="002206F8" w:rsidTr="009974B9" w14:paraId="6E818222" w14:textId="77777777">
        <w:trPr>
          <w:cantSplit/>
        </w:trPr>
        <w:tc>
          <w:tcPr>
            <w:tcW w:w="1871" w:type="dxa"/>
          </w:tcPr>
          <w:p w:rsidR="002206F8" w:rsidP="009974B9" w:rsidRDefault="002206F8" w14:paraId="1AD0E581" w14:textId="77777777">
            <w:pPr>
              <w:pStyle w:val="TableSideHeading"/>
              <w:ind w:right="0"/>
            </w:pPr>
          </w:p>
        </w:tc>
        <w:tc>
          <w:tcPr>
            <w:tcW w:w="624" w:type="dxa"/>
          </w:tcPr>
          <w:p w:rsidR="002206F8" w:rsidP="009974B9" w:rsidRDefault="002206F8" w14:paraId="5B01451A" w14:textId="77777777">
            <w:pPr>
              <w:pStyle w:val="TableText"/>
              <w:ind w:right="0"/>
              <w:jc w:val="both"/>
            </w:pPr>
          </w:p>
        </w:tc>
        <w:tc>
          <w:tcPr>
            <w:tcW w:w="624" w:type="dxa"/>
          </w:tcPr>
          <w:p w:rsidRPr="00265E49" w:rsidR="002206F8" w:rsidP="009974B9" w:rsidRDefault="002206F8" w14:paraId="5AC4DBF9" w14:textId="77777777">
            <w:pPr>
              <w:pStyle w:val="TableText"/>
              <w:ind w:right="0"/>
              <w:jc w:val="both"/>
            </w:pPr>
          </w:p>
        </w:tc>
        <w:tc>
          <w:tcPr>
            <w:tcW w:w="6519" w:type="dxa"/>
          </w:tcPr>
          <w:p w:rsidRPr="00265E49" w:rsidR="002206F8" w:rsidP="009974B9" w:rsidRDefault="002206F8" w14:paraId="4D37BE04" w14:textId="77777777">
            <w:pPr>
              <w:pStyle w:val="TableBlock"/>
            </w:pPr>
            <w:r w:rsidRPr="00265E49">
              <w:rPr>
                <w:rtl/>
              </w:rPr>
              <w:t>(1)</w:t>
            </w:r>
            <w:r w:rsidRPr="00265E49">
              <w:rPr>
                <w:rtl/>
              </w:rPr>
              <w:tab/>
              <w:t>ח</w:t>
            </w:r>
            <w:r w:rsidRPr="00265E49">
              <w:rPr>
                <w:rFonts w:hint="cs"/>
                <w:rtl/>
              </w:rPr>
              <w:t>ילול שבת ומועדי ישראל, כמשמעותם בסעיף 18א(א) בפקודת סדרי השלטון והמשפט, התש"ח</w:t>
            </w:r>
            <w:r w:rsidRPr="00265E49">
              <w:rPr>
                <w:rFonts w:hint="eastAsia"/>
                <w:rtl/>
              </w:rPr>
              <w:t>–1948</w:t>
            </w:r>
            <w:r w:rsidRPr="00265E49">
              <w:rPr>
                <w:rFonts w:hint="cs"/>
                <w:rtl/>
              </w:rPr>
              <w:t>;</w:t>
            </w:r>
          </w:p>
        </w:tc>
      </w:tr>
      <w:tr w:rsidRPr="00265E49" w:rsidR="002206F8" w:rsidTr="009974B9" w14:paraId="09B2742A" w14:textId="77777777">
        <w:trPr>
          <w:cantSplit/>
        </w:trPr>
        <w:tc>
          <w:tcPr>
            <w:tcW w:w="1871" w:type="dxa"/>
          </w:tcPr>
          <w:p w:rsidR="002206F8" w:rsidP="009974B9" w:rsidRDefault="002206F8" w14:paraId="796A34A8" w14:textId="77777777">
            <w:pPr>
              <w:pStyle w:val="TableSideHeading"/>
              <w:ind w:right="0"/>
              <w:rPr>
                <w:rtl/>
              </w:rPr>
            </w:pPr>
          </w:p>
        </w:tc>
        <w:tc>
          <w:tcPr>
            <w:tcW w:w="624" w:type="dxa"/>
          </w:tcPr>
          <w:p w:rsidR="002206F8" w:rsidP="009974B9" w:rsidRDefault="002206F8" w14:paraId="7A72F6DB" w14:textId="77777777">
            <w:pPr>
              <w:pStyle w:val="TableText"/>
              <w:ind w:right="0"/>
              <w:jc w:val="both"/>
            </w:pPr>
          </w:p>
        </w:tc>
        <w:tc>
          <w:tcPr>
            <w:tcW w:w="624" w:type="dxa"/>
          </w:tcPr>
          <w:p w:rsidRPr="00265E49" w:rsidR="002206F8" w:rsidP="009974B9" w:rsidRDefault="002206F8" w14:paraId="27752A11" w14:textId="77777777">
            <w:pPr>
              <w:pStyle w:val="TableText"/>
              <w:ind w:right="0"/>
              <w:jc w:val="both"/>
              <w:rPr>
                <w:rtl/>
              </w:rPr>
            </w:pPr>
          </w:p>
        </w:tc>
        <w:tc>
          <w:tcPr>
            <w:tcW w:w="6519" w:type="dxa"/>
          </w:tcPr>
          <w:p w:rsidRPr="00265E49" w:rsidR="002206F8" w:rsidP="009974B9" w:rsidRDefault="002206F8" w14:paraId="54DBA76A" w14:textId="77777777">
            <w:pPr>
              <w:pStyle w:val="TableBlock"/>
              <w:rPr>
                <w:rtl/>
              </w:rPr>
            </w:pPr>
            <w:r w:rsidRPr="00265E49">
              <w:rPr>
                <w:rFonts w:hint="cs"/>
                <w:rtl/>
              </w:rPr>
              <w:t>(2)</w:t>
            </w:r>
            <w:r w:rsidRPr="00265E49">
              <w:rPr>
                <w:rtl/>
              </w:rPr>
              <w:tab/>
              <w:t>ע</w:t>
            </w:r>
            <w:r w:rsidRPr="00265E49">
              <w:rPr>
                <w:rFonts w:hint="cs"/>
                <w:rtl/>
              </w:rPr>
              <w:t xml:space="preserve">ריכת טקס, לרבות טקס דתי, שלא על פי מנהג המקום, הפוגע ברגשות ציבור המתפללים כלפי המקום; </w:t>
            </w:r>
          </w:p>
        </w:tc>
      </w:tr>
      <w:tr w:rsidRPr="00265E49" w:rsidR="002206F8" w:rsidTr="009974B9" w14:paraId="0F37AF8E" w14:textId="77777777">
        <w:trPr>
          <w:cantSplit/>
        </w:trPr>
        <w:tc>
          <w:tcPr>
            <w:tcW w:w="1871" w:type="dxa"/>
          </w:tcPr>
          <w:p w:rsidR="002206F8" w:rsidP="009974B9" w:rsidRDefault="002206F8" w14:paraId="1E1F1CE4" w14:textId="77777777">
            <w:pPr>
              <w:pStyle w:val="TableSideHeading"/>
              <w:ind w:right="0"/>
              <w:rPr>
                <w:rtl/>
              </w:rPr>
            </w:pPr>
          </w:p>
        </w:tc>
        <w:tc>
          <w:tcPr>
            <w:tcW w:w="624" w:type="dxa"/>
          </w:tcPr>
          <w:p w:rsidR="002206F8" w:rsidP="009974B9" w:rsidRDefault="002206F8" w14:paraId="2AA4220F" w14:textId="77777777">
            <w:pPr>
              <w:pStyle w:val="TableText"/>
              <w:ind w:right="0"/>
              <w:jc w:val="both"/>
            </w:pPr>
          </w:p>
        </w:tc>
        <w:tc>
          <w:tcPr>
            <w:tcW w:w="624" w:type="dxa"/>
          </w:tcPr>
          <w:p w:rsidRPr="00265E49" w:rsidR="002206F8" w:rsidP="009974B9" w:rsidRDefault="002206F8" w14:paraId="75BB5B02" w14:textId="77777777">
            <w:pPr>
              <w:pStyle w:val="TableText"/>
              <w:ind w:right="0"/>
              <w:jc w:val="both"/>
              <w:rPr>
                <w:rtl/>
              </w:rPr>
            </w:pPr>
          </w:p>
        </w:tc>
        <w:tc>
          <w:tcPr>
            <w:tcW w:w="6519" w:type="dxa"/>
          </w:tcPr>
          <w:p w:rsidRPr="00265E49" w:rsidR="002206F8" w:rsidP="009974B9" w:rsidRDefault="002206F8" w14:paraId="2F9F5975" w14:textId="77777777">
            <w:pPr>
              <w:pStyle w:val="TableBlock"/>
              <w:rPr>
                <w:rtl/>
              </w:rPr>
            </w:pPr>
            <w:r w:rsidRPr="00265E49">
              <w:rPr>
                <w:rFonts w:hint="cs"/>
                <w:rtl/>
              </w:rPr>
              <w:t>(3)</w:t>
            </w:r>
            <w:r w:rsidRPr="00265E49">
              <w:rPr>
                <w:rtl/>
              </w:rPr>
              <w:tab/>
              <w:t>ת</w:t>
            </w:r>
            <w:r w:rsidRPr="00265E49">
              <w:rPr>
                <w:rFonts w:hint="cs"/>
                <w:rtl/>
              </w:rPr>
              <w:t>לבושת שאינה הולמת את קדושת המקום;</w:t>
            </w:r>
          </w:p>
        </w:tc>
      </w:tr>
      <w:tr w:rsidRPr="00265E49" w:rsidR="002206F8" w:rsidTr="009974B9" w14:paraId="6ADA2334" w14:textId="77777777">
        <w:trPr>
          <w:cantSplit/>
        </w:trPr>
        <w:tc>
          <w:tcPr>
            <w:tcW w:w="1871" w:type="dxa"/>
          </w:tcPr>
          <w:p w:rsidR="002206F8" w:rsidP="009974B9" w:rsidRDefault="002206F8" w14:paraId="66568A17" w14:textId="77777777">
            <w:pPr>
              <w:pStyle w:val="TableSideHeading"/>
              <w:ind w:right="0"/>
              <w:rPr>
                <w:rtl/>
              </w:rPr>
            </w:pPr>
          </w:p>
        </w:tc>
        <w:tc>
          <w:tcPr>
            <w:tcW w:w="624" w:type="dxa"/>
          </w:tcPr>
          <w:p w:rsidR="002206F8" w:rsidP="009974B9" w:rsidRDefault="002206F8" w14:paraId="20FC7457" w14:textId="77777777">
            <w:pPr>
              <w:pStyle w:val="TableText"/>
              <w:ind w:right="0"/>
              <w:jc w:val="both"/>
            </w:pPr>
          </w:p>
        </w:tc>
        <w:tc>
          <w:tcPr>
            <w:tcW w:w="624" w:type="dxa"/>
          </w:tcPr>
          <w:p w:rsidRPr="00265E49" w:rsidR="002206F8" w:rsidP="009974B9" w:rsidRDefault="002206F8" w14:paraId="1007FB3C" w14:textId="77777777">
            <w:pPr>
              <w:pStyle w:val="TableText"/>
              <w:ind w:right="0"/>
              <w:jc w:val="both"/>
              <w:rPr>
                <w:rtl/>
              </w:rPr>
            </w:pPr>
          </w:p>
        </w:tc>
        <w:tc>
          <w:tcPr>
            <w:tcW w:w="6519" w:type="dxa"/>
          </w:tcPr>
          <w:p w:rsidRPr="00265E49" w:rsidR="002206F8" w:rsidP="009974B9" w:rsidRDefault="002206F8" w14:paraId="1D3DE72B" w14:textId="77777777">
            <w:pPr>
              <w:pStyle w:val="TableBlock"/>
              <w:rPr>
                <w:rtl/>
              </w:rPr>
            </w:pPr>
            <w:r w:rsidRPr="00265E49">
              <w:rPr>
                <w:rtl/>
              </w:rPr>
              <w:t>(</w:t>
            </w:r>
            <w:r w:rsidRPr="00265E49">
              <w:rPr>
                <w:rFonts w:hint="cs"/>
                <w:rtl/>
              </w:rPr>
              <w:t>4</w:t>
            </w:r>
            <w:r w:rsidRPr="00265E49">
              <w:rPr>
                <w:rtl/>
              </w:rPr>
              <w:t>)</w:t>
            </w:r>
            <w:r w:rsidRPr="00265E49">
              <w:rPr>
                <w:rtl/>
              </w:rPr>
              <w:tab/>
              <w:t>הצבת קיוסקים או דוכנים, עיסוק ברוכלות או בכל עסק אחר;</w:t>
            </w:r>
          </w:p>
        </w:tc>
      </w:tr>
      <w:tr w:rsidRPr="00265E49" w:rsidR="002206F8" w:rsidTr="009974B9" w14:paraId="58362D7F" w14:textId="77777777">
        <w:trPr>
          <w:cantSplit/>
        </w:trPr>
        <w:tc>
          <w:tcPr>
            <w:tcW w:w="1871" w:type="dxa"/>
          </w:tcPr>
          <w:p w:rsidR="002206F8" w:rsidP="009974B9" w:rsidRDefault="002206F8" w14:paraId="4D855FC6" w14:textId="77777777">
            <w:pPr>
              <w:pStyle w:val="TableSideHeading"/>
              <w:ind w:right="0"/>
              <w:rPr>
                <w:rtl/>
              </w:rPr>
            </w:pPr>
          </w:p>
        </w:tc>
        <w:tc>
          <w:tcPr>
            <w:tcW w:w="624" w:type="dxa"/>
          </w:tcPr>
          <w:p w:rsidR="002206F8" w:rsidP="009974B9" w:rsidRDefault="002206F8" w14:paraId="10B81FB3" w14:textId="77777777">
            <w:pPr>
              <w:pStyle w:val="TableText"/>
              <w:ind w:right="0"/>
              <w:jc w:val="both"/>
            </w:pPr>
          </w:p>
        </w:tc>
        <w:tc>
          <w:tcPr>
            <w:tcW w:w="624" w:type="dxa"/>
          </w:tcPr>
          <w:p w:rsidRPr="00265E49" w:rsidR="002206F8" w:rsidP="009974B9" w:rsidRDefault="002206F8" w14:paraId="02A4D7AB" w14:textId="77777777">
            <w:pPr>
              <w:pStyle w:val="TableText"/>
              <w:ind w:right="0"/>
              <w:jc w:val="both"/>
              <w:rPr>
                <w:rtl/>
              </w:rPr>
            </w:pPr>
          </w:p>
        </w:tc>
        <w:tc>
          <w:tcPr>
            <w:tcW w:w="6519" w:type="dxa"/>
          </w:tcPr>
          <w:p w:rsidRPr="00265E49" w:rsidR="002206F8" w:rsidP="009974B9" w:rsidRDefault="002206F8" w14:paraId="08F27319" w14:textId="77777777">
            <w:pPr>
              <w:pStyle w:val="TableBlock"/>
              <w:rPr>
                <w:rtl/>
              </w:rPr>
            </w:pPr>
            <w:r w:rsidRPr="00265E49">
              <w:rPr>
                <w:rFonts w:hint="cs"/>
                <w:rtl/>
              </w:rPr>
              <w:t>(5)</w:t>
            </w:r>
            <w:r w:rsidRPr="00265E49">
              <w:rPr>
                <w:rtl/>
              </w:rPr>
              <w:tab/>
              <w:t>מ</w:t>
            </w:r>
            <w:r w:rsidRPr="00265E49">
              <w:rPr>
                <w:rFonts w:hint="cs"/>
                <w:rtl/>
              </w:rPr>
              <w:t>תן שירותי דת מכל סוג שהוא, שלא בהיתר הממונה;</w:t>
            </w:r>
          </w:p>
        </w:tc>
      </w:tr>
      <w:tr w:rsidRPr="00265E49" w:rsidR="002206F8" w:rsidTr="009974B9" w14:paraId="6087BBBD" w14:textId="77777777">
        <w:trPr>
          <w:cantSplit/>
        </w:trPr>
        <w:tc>
          <w:tcPr>
            <w:tcW w:w="1871" w:type="dxa"/>
          </w:tcPr>
          <w:p w:rsidR="002206F8" w:rsidP="009974B9" w:rsidRDefault="002206F8" w14:paraId="317C4070" w14:textId="77777777">
            <w:pPr>
              <w:pStyle w:val="TableSideHeading"/>
              <w:ind w:right="0"/>
              <w:rPr>
                <w:rtl/>
              </w:rPr>
            </w:pPr>
          </w:p>
        </w:tc>
        <w:tc>
          <w:tcPr>
            <w:tcW w:w="624" w:type="dxa"/>
          </w:tcPr>
          <w:p w:rsidR="002206F8" w:rsidP="009974B9" w:rsidRDefault="002206F8" w14:paraId="06C0D50B" w14:textId="77777777">
            <w:pPr>
              <w:pStyle w:val="TableText"/>
              <w:ind w:right="0"/>
              <w:jc w:val="both"/>
            </w:pPr>
          </w:p>
        </w:tc>
        <w:tc>
          <w:tcPr>
            <w:tcW w:w="624" w:type="dxa"/>
          </w:tcPr>
          <w:p w:rsidRPr="00265E49" w:rsidR="002206F8" w:rsidP="009974B9" w:rsidRDefault="002206F8" w14:paraId="2EB9BDFF" w14:textId="77777777">
            <w:pPr>
              <w:pStyle w:val="TableText"/>
              <w:ind w:right="0"/>
              <w:jc w:val="both"/>
              <w:rPr>
                <w:rtl/>
              </w:rPr>
            </w:pPr>
          </w:p>
        </w:tc>
        <w:tc>
          <w:tcPr>
            <w:tcW w:w="6519" w:type="dxa"/>
          </w:tcPr>
          <w:p w:rsidRPr="00265E49" w:rsidR="002206F8" w:rsidP="009974B9" w:rsidRDefault="002206F8" w14:paraId="26BA9F8D" w14:textId="77777777">
            <w:pPr>
              <w:pStyle w:val="TableBlock"/>
              <w:rPr>
                <w:rtl/>
              </w:rPr>
            </w:pPr>
            <w:r w:rsidRPr="00265E49">
              <w:rPr>
                <w:rFonts w:hint="cs"/>
                <w:rtl/>
              </w:rPr>
              <w:t>(6)</w:t>
            </w:r>
            <w:r w:rsidRPr="00265E49">
              <w:rPr>
                <w:rtl/>
              </w:rPr>
              <w:tab/>
              <w:t>ח</w:t>
            </w:r>
            <w:r w:rsidRPr="00265E49">
              <w:rPr>
                <w:rFonts w:hint="cs"/>
                <w:rtl/>
              </w:rPr>
              <w:t xml:space="preserve">לוקת פרסומים, שלא בהיתר הממונה; </w:t>
            </w:r>
          </w:p>
        </w:tc>
      </w:tr>
      <w:tr w:rsidRPr="00265E49" w:rsidR="002206F8" w:rsidTr="009974B9" w14:paraId="65188FB7" w14:textId="77777777">
        <w:trPr>
          <w:cantSplit/>
        </w:trPr>
        <w:tc>
          <w:tcPr>
            <w:tcW w:w="1871" w:type="dxa"/>
          </w:tcPr>
          <w:p w:rsidR="002206F8" w:rsidP="009974B9" w:rsidRDefault="002206F8" w14:paraId="523A217E" w14:textId="77777777">
            <w:pPr>
              <w:pStyle w:val="TableSideHeading"/>
              <w:ind w:right="0"/>
              <w:rPr>
                <w:rtl/>
              </w:rPr>
            </w:pPr>
          </w:p>
        </w:tc>
        <w:tc>
          <w:tcPr>
            <w:tcW w:w="624" w:type="dxa"/>
          </w:tcPr>
          <w:p w:rsidR="002206F8" w:rsidP="009974B9" w:rsidRDefault="002206F8" w14:paraId="1B23C4D4" w14:textId="77777777">
            <w:pPr>
              <w:pStyle w:val="TableText"/>
              <w:ind w:right="0"/>
              <w:jc w:val="both"/>
            </w:pPr>
          </w:p>
        </w:tc>
        <w:tc>
          <w:tcPr>
            <w:tcW w:w="624" w:type="dxa"/>
          </w:tcPr>
          <w:p w:rsidRPr="00265E49" w:rsidR="002206F8" w:rsidP="009974B9" w:rsidRDefault="002206F8" w14:paraId="4642BBA0" w14:textId="77777777">
            <w:pPr>
              <w:pStyle w:val="TableText"/>
              <w:ind w:right="0"/>
              <w:jc w:val="both"/>
              <w:rPr>
                <w:rtl/>
              </w:rPr>
            </w:pPr>
          </w:p>
        </w:tc>
        <w:tc>
          <w:tcPr>
            <w:tcW w:w="6519" w:type="dxa"/>
          </w:tcPr>
          <w:p w:rsidRPr="00265E49" w:rsidR="002206F8" w:rsidP="009974B9" w:rsidRDefault="002206F8" w14:paraId="0924D553" w14:textId="77777777">
            <w:pPr>
              <w:pStyle w:val="TableBlock"/>
              <w:rPr>
                <w:rtl/>
              </w:rPr>
            </w:pPr>
            <w:r w:rsidRPr="00265E49">
              <w:rPr>
                <w:rFonts w:hint="cs"/>
                <w:rtl/>
              </w:rPr>
              <w:t>(7)</w:t>
            </w:r>
            <w:r w:rsidRPr="00265E49">
              <w:rPr>
                <w:rtl/>
              </w:rPr>
              <w:tab/>
              <w:t>נ</w:t>
            </w:r>
            <w:r w:rsidRPr="00265E49">
              <w:rPr>
                <w:rFonts w:hint="cs"/>
                <w:rtl/>
              </w:rPr>
              <w:t>שיאת נאום, הכרזה בקול רם או נשיאת כרזות או שלטים, והכל שלא בהיתר הממונה;</w:t>
            </w:r>
          </w:p>
        </w:tc>
      </w:tr>
      <w:tr w:rsidRPr="00265E49" w:rsidR="002206F8" w:rsidTr="009974B9" w14:paraId="46481219" w14:textId="77777777">
        <w:trPr>
          <w:cantSplit/>
        </w:trPr>
        <w:tc>
          <w:tcPr>
            <w:tcW w:w="1871" w:type="dxa"/>
          </w:tcPr>
          <w:p w:rsidR="002206F8" w:rsidP="009974B9" w:rsidRDefault="002206F8" w14:paraId="7A4E5304" w14:textId="77777777">
            <w:pPr>
              <w:pStyle w:val="TableSideHeading"/>
              <w:ind w:right="0"/>
              <w:rPr>
                <w:rtl/>
              </w:rPr>
            </w:pPr>
          </w:p>
        </w:tc>
        <w:tc>
          <w:tcPr>
            <w:tcW w:w="624" w:type="dxa"/>
          </w:tcPr>
          <w:p w:rsidR="002206F8" w:rsidP="009974B9" w:rsidRDefault="002206F8" w14:paraId="29D3C41B" w14:textId="77777777">
            <w:pPr>
              <w:pStyle w:val="TableText"/>
              <w:ind w:right="0"/>
              <w:jc w:val="both"/>
            </w:pPr>
          </w:p>
        </w:tc>
        <w:tc>
          <w:tcPr>
            <w:tcW w:w="624" w:type="dxa"/>
          </w:tcPr>
          <w:p w:rsidRPr="00265E49" w:rsidR="002206F8" w:rsidP="009974B9" w:rsidRDefault="002206F8" w14:paraId="3C16F8D4" w14:textId="77777777">
            <w:pPr>
              <w:pStyle w:val="TableText"/>
              <w:ind w:right="0"/>
              <w:jc w:val="both"/>
              <w:rPr>
                <w:rtl/>
              </w:rPr>
            </w:pPr>
          </w:p>
        </w:tc>
        <w:tc>
          <w:tcPr>
            <w:tcW w:w="6519" w:type="dxa"/>
          </w:tcPr>
          <w:p w:rsidRPr="00265E49" w:rsidR="002206F8" w:rsidP="009974B9" w:rsidRDefault="002206F8" w14:paraId="5854BF9F" w14:textId="77777777">
            <w:pPr>
              <w:pStyle w:val="TableBlock"/>
              <w:rPr>
                <w:rtl/>
              </w:rPr>
            </w:pPr>
            <w:r w:rsidRPr="00265E49">
              <w:rPr>
                <w:rFonts w:hint="cs"/>
                <w:rtl/>
              </w:rPr>
              <w:t>(8)</w:t>
            </w:r>
            <w:r w:rsidRPr="00265E49">
              <w:rPr>
                <w:rtl/>
              </w:rPr>
              <w:tab/>
            </w:r>
            <w:r w:rsidRPr="00265E49">
              <w:rPr>
                <w:rFonts w:hint="cs"/>
                <w:rtl/>
              </w:rPr>
              <w:t>נגינה בכלי נגינה, השמעת מוזיקה ושירה שלא בהיתר הממונה;</w:t>
            </w:r>
          </w:p>
        </w:tc>
      </w:tr>
      <w:tr w:rsidRPr="00265E49" w:rsidR="002206F8" w:rsidTr="009974B9" w14:paraId="64EDA5B4" w14:textId="77777777">
        <w:trPr>
          <w:cantSplit/>
        </w:trPr>
        <w:tc>
          <w:tcPr>
            <w:tcW w:w="1871" w:type="dxa"/>
          </w:tcPr>
          <w:p w:rsidR="002206F8" w:rsidP="009974B9" w:rsidRDefault="002206F8" w14:paraId="55EB3308" w14:textId="77777777">
            <w:pPr>
              <w:pStyle w:val="TableSideHeading"/>
              <w:ind w:right="0"/>
              <w:rPr>
                <w:rtl/>
              </w:rPr>
            </w:pPr>
          </w:p>
        </w:tc>
        <w:tc>
          <w:tcPr>
            <w:tcW w:w="624" w:type="dxa"/>
          </w:tcPr>
          <w:p w:rsidR="002206F8" w:rsidP="009974B9" w:rsidRDefault="002206F8" w14:paraId="3B118D9A" w14:textId="77777777">
            <w:pPr>
              <w:pStyle w:val="TableText"/>
              <w:ind w:right="0"/>
              <w:jc w:val="both"/>
            </w:pPr>
          </w:p>
        </w:tc>
        <w:tc>
          <w:tcPr>
            <w:tcW w:w="624" w:type="dxa"/>
          </w:tcPr>
          <w:p w:rsidRPr="00265E49" w:rsidR="002206F8" w:rsidP="009974B9" w:rsidRDefault="002206F8" w14:paraId="2B7222AA" w14:textId="77777777">
            <w:pPr>
              <w:pStyle w:val="TableText"/>
              <w:ind w:right="0"/>
              <w:jc w:val="both"/>
              <w:rPr>
                <w:rtl/>
              </w:rPr>
            </w:pPr>
          </w:p>
        </w:tc>
        <w:tc>
          <w:tcPr>
            <w:tcW w:w="6519" w:type="dxa"/>
          </w:tcPr>
          <w:p w:rsidRPr="00265E49" w:rsidR="002206F8" w:rsidP="009974B9" w:rsidRDefault="002206F8" w14:paraId="54A8A5CE" w14:textId="77777777">
            <w:pPr>
              <w:pStyle w:val="TableBlock"/>
              <w:rPr>
                <w:rtl/>
              </w:rPr>
            </w:pPr>
            <w:r w:rsidRPr="00265E49">
              <w:rPr>
                <w:rFonts w:hint="cs"/>
                <w:rtl/>
              </w:rPr>
              <w:t>(9)</w:t>
            </w:r>
            <w:r w:rsidRPr="00265E49">
              <w:rPr>
                <w:rtl/>
              </w:rPr>
              <w:tab/>
              <w:t>ש</w:t>
            </w:r>
            <w:r w:rsidRPr="00265E49">
              <w:rPr>
                <w:rFonts w:hint="cs"/>
                <w:rtl/>
              </w:rPr>
              <w:t>חיטה;</w:t>
            </w:r>
          </w:p>
        </w:tc>
      </w:tr>
      <w:tr w:rsidRPr="00265E49" w:rsidR="002206F8" w:rsidTr="009974B9" w14:paraId="19673C20" w14:textId="77777777">
        <w:trPr>
          <w:cantSplit/>
        </w:trPr>
        <w:tc>
          <w:tcPr>
            <w:tcW w:w="1871" w:type="dxa"/>
          </w:tcPr>
          <w:p w:rsidR="002206F8" w:rsidP="009974B9" w:rsidRDefault="002206F8" w14:paraId="0BFACA61" w14:textId="77777777">
            <w:pPr>
              <w:pStyle w:val="TableSideHeading"/>
              <w:ind w:right="0"/>
              <w:rPr>
                <w:rtl/>
              </w:rPr>
            </w:pPr>
          </w:p>
        </w:tc>
        <w:tc>
          <w:tcPr>
            <w:tcW w:w="624" w:type="dxa"/>
          </w:tcPr>
          <w:p w:rsidR="002206F8" w:rsidP="009974B9" w:rsidRDefault="002206F8" w14:paraId="2F329281" w14:textId="77777777">
            <w:pPr>
              <w:pStyle w:val="TableText"/>
              <w:ind w:right="0"/>
              <w:jc w:val="both"/>
            </w:pPr>
          </w:p>
        </w:tc>
        <w:tc>
          <w:tcPr>
            <w:tcW w:w="624" w:type="dxa"/>
          </w:tcPr>
          <w:p w:rsidRPr="00265E49" w:rsidR="002206F8" w:rsidP="009974B9" w:rsidRDefault="002206F8" w14:paraId="422B193C" w14:textId="77777777">
            <w:pPr>
              <w:pStyle w:val="TableText"/>
              <w:ind w:right="0"/>
              <w:jc w:val="both"/>
              <w:rPr>
                <w:rtl/>
              </w:rPr>
            </w:pPr>
          </w:p>
        </w:tc>
        <w:tc>
          <w:tcPr>
            <w:tcW w:w="6519" w:type="dxa"/>
          </w:tcPr>
          <w:p w:rsidRPr="00265E49" w:rsidR="002206F8" w:rsidP="009974B9" w:rsidRDefault="002206F8" w14:paraId="0A73D962" w14:textId="77777777">
            <w:pPr>
              <w:pStyle w:val="TableBlock"/>
              <w:rPr>
                <w:rtl/>
              </w:rPr>
            </w:pPr>
            <w:r w:rsidRPr="00265E49">
              <w:rPr>
                <w:rtl/>
              </w:rPr>
              <w:t>(10)</w:t>
            </w:r>
            <w:r w:rsidRPr="00265E49">
              <w:rPr>
                <w:rtl/>
              </w:rPr>
              <w:tab/>
              <w:t>אכילה, שתיה, או עריכת חגיגה מחוץ למקומות שהועיד לכך הממונה;</w:t>
            </w:r>
          </w:p>
        </w:tc>
      </w:tr>
      <w:tr w:rsidRPr="00265E49" w:rsidR="002206F8" w:rsidTr="009974B9" w14:paraId="26496C36" w14:textId="77777777">
        <w:trPr>
          <w:cantSplit/>
        </w:trPr>
        <w:tc>
          <w:tcPr>
            <w:tcW w:w="1871" w:type="dxa"/>
          </w:tcPr>
          <w:p w:rsidR="002206F8" w:rsidP="009974B9" w:rsidRDefault="002206F8" w14:paraId="287A61F5" w14:textId="77777777">
            <w:pPr>
              <w:pStyle w:val="TableSideHeading"/>
              <w:ind w:right="0"/>
              <w:rPr>
                <w:rtl/>
              </w:rPr>
            </w:pPr>
          </w:p>
        </w:tc>
        <w:tc>
          <w:tcPr>
            <w:tcW w:w="624" w:type="dxa"/>
          </w:tcPr>
          <w:p w:rsidR="002206F8" w:rsidP="009974B9" w:rsidRDefault="002206F8" w14:paraId="7A0CAEAB" w14:textId="77777777">
            <w:pPr>
              <w:pStyle w:val="TableText"/>
              <w:ind w:right="0"/>
              <w:jc w:val="both"/>
            </w:pPr>
          </w:p>
        </w:tc>
        <w:tc>
          <w:tcPr>
            <w:tcW w:w="624" w:type="dxa"/>
          </w:tcPr>
          <w:p w:rsidRPr="00265E49" w:rsidR="002206F8" w:rsidP="009974B9" w:rsidRDefault="002206F8" w14:paraId="5395DEF0" w14:textId="77777777">
            <w:pPr>
              <w:pStyle w:val="TableText"/>
              <w:ind w:right="0"/>
              <w:jc w:val="both"/>
              <w:rPr>
                <w:rtl/>
              </w:rPr>
            </w:pPr>
          </w:p>
        </w:tc>
        <w:tc>
          <w:tcPr>
            <w:tcW w:w="6519" w:type="dxa"/>
          </w:tcPr>
          <w:p w:rsidRPr="00265E49" w:rsidR="002206F8" w:rsidP="009974B9" w:rsidRDefault="002206F8" w14:paraId="3796911A" w14:textId="77777777">
            <w:pPr>
              <w:pStyle w:val="TableBlock"/>
              <w:rPr>
                <w:rtl/>
              </w:rPr>
            </w:pPr>
            <w:r w:rsidRPr="00265E49">
              <w:rPr>
                <w:rFonts w:hint="cs"/>
                <w:rtl/>
              </w:rPr>
              <w:t>(11)</w:t>
            </w:r>
            <w:r w:rsidRPr="00265E49">
              <w:rPr>
                <w:rtl/>
              </w:rPr>
              <w:tab/>
              <w:t>ע</w:t>
            </w:r>
            <w:r w:rsidRPr="00265E49">
              <w:rPr>
                <w:rFonts w:hint="cs"/>
                <w:rtl/>
              </w:rPr>
              <w:t>ישון ברחבת התפילה;</w:t>
            </w:r>
          </w:p>
        </w:tc>
      </w:tr>
      <w:tr w:rsidRPr="00265E49" w:rsidR="002206F8" w:rsidTr="009974B9" w14:paraId="15128DAF" w14:textId="77777777">
        <w:trPr>
          <w:cantSplit/>
        </w:trPr>
        <w:tc>
          <w:tcPr>
            <w:tcW w:w="1871" w:type="dxa"/>
          </w:tcPr>
          <w:p w:rsidR="002206F8" w:rsidP="009974B9" w:rsidRDefault="002206F8" w14:paraId="69C91E52" w14:textId="77777777">
            <w:pPr>
              <w:pStyle w:val="TableSideHeading"/>
              <w:ind w:right="0"/>
              <w:rPr>
                <w:rtl/>
              </w:rPr>
            </w:pPr>
          </w:p>
        </w:tc>
        <w:tc>
          <w:tcPr>
            <w:tcW w:w="624" w:type="dxa"/>
          </w:tcPr>
          <w:p w:rsidR="002206F8" w:rsidP="009974B9" w:rsidRDefault="002206F8" w14:paraId="639D0D4C" w14:textId="77777777">
            <w:pPr>
              <w:pStyle w:val="TableText"/>
              <w:ind w:right="0"/>
              <w:jc w:val="both"/>
            </w:pPr>
          </w:p>
        </w:tc>
        <w:tc>
          <w:tcPr>
            <w:tcW w:w="624" w:type="dxa"/>
          </w:tcPr>
          <w:p w:rsidRPr="00265E49" w:rsidR="002206F8" w:rsidP="009974B9" w:rsidRDefault="002206F8" w14:paraId="1B1410D3" w14:textId="77777777">
            <w:pPr>
              <w:pStyle w:val="TableText"/>
              <w:ind w:right="0"/>
              <w:jc w:val="both"/>
              <w:rPr>
                <w:rtl/>
              </w:rPr>
            </w:pPr>
          </w:p>
        </w:tc>
        <w:tc>
          <w:tcPr>
            <w:tcW w:w="6519" w:type="dxa"/>
          </w:tcPr>
          <w:p w:rsidRPr="00265E49" w:rsidR="002206F8" w:rsidP="009974B9" w:rsidRDefault="002206F8" w14:paraId="6BD63DED" w14:textId="77777777">
            <w:pPr>
              <w:pStyle w:val="TableBlock"/>
              <w:rPr>
                <w:rtl/>
              </w:rPr>
            </w:pPr>
            <w:r w:rsidRPr="00265E49">
              <w:rPr>
                <w:rFonts w:hint="cs"/>
                <w:rtl/>
              </w:rPr>
              <w:t>(12)</w:t>
            </w:r>
            <w:r w:rsidRPr="00265E49">
              <w:rPr>
                <w:rtl/>
              </w:rPr>
              <w:tab/>
              <w:t>ל</w:t>
            </w:r>
            <w:r w:rsidRPr="00265E49">
              <w:rPr>
                <w:rFonts w:hint="cs"/>
                <w:rtl/>
              </w:rPr>
              <w:t>ינה מחוץ למקומות שהועיד לכך הממונה;</w:t>
            </w:r>
          </w:p>
        </w:tc>
      </w:tr>
      <w:tr w:rsidRPr="00265E49" w:rsidR="002206F8" w:rsidTr="009974B9" w14:paraId="1C4F7E25" w14:textId="77777777">
        <w:trPr>
          <w:cantSplit/>
        </w:trPr>
        <w:tc>
          <w:tcPr>
            <w:tcW w:w="1871" w:type="dxa"/>
          </w:tcPr>
          <w:p w:rsidR="002206F8" w:rsidP="009974B9" w:rsidRDefault="002206F8" w14:paraId="03D22B4D" w14:textId="77777777">
            <w:pPr>
              <w:pStyle w:val="TableSideHeading"/>
              <w:ind w:right="0"/>
              <w:rPr>
                <w:rtl/>
              </w:rPr>
            </w:pPr>
          </w:p>
        </w:tc>
        <w:tc>
          <w:tcPr>
            <w:tcW w:w="624" w:type="dxa"/>
          </w:tcPr>
          <w:p w:rsidR="002206F8" w:rsidP="009974B9" w:rsidRDefault="002206F8" w14:paraId="30D3C958" w14:textId="77777777">
            <w:pPr>
              <w:pStyle w:val="TableText"/>
              <w:ind w:right="0"/>
              <w:jc w:val="both"/>
            </w:pPr>
          </w:p>
        </w:tc>
        <w:tc>
          <w:tcPr>
            <w:tcW w:w="624" w:type="dxa"/>
          </w:tcPr>
          <w:p w:rsidRPr="00265E49" w:rsidR="002206F8" w:rsidP="009974B9" w:rsidRDefault="002206F8" w14:paraId="47DFFA6D" w14:textId="77777777">
            <w:pPr>
              <w:pStyle w:val="TableText"/>
              <w:ind w:right="0"/>
              <w:jc w:val="both"/>
              <w:rPr>
                <w:rtl/>
              </w:rPr>
            </w:pPr>
          </w:p>
        </w:tc>
        <w:tc>
          <w:tcPr>
            <w:tcW w:w="6519" w:type="dxa"/>
          </w:tcPr>
          <w:p w:rsidRPr="00265E49" w:rsidR="002206F8" w:rsidP="009974B9" w:rsidRDefault="002206F8" w14:paraId="7697100B" w14:textId="77777777">
            <w:pPr>
              <w:pStyle w:val="TableBlock"/>
              <w:rPr>
                <w:rtl/>
              </w:rPr>
            </w:pPr>
            <w:r w:rsidRPr="00265E49">
              <w:rPr>
                <w:rFonts w:hint="cs"/>
                <w:rtl/>
              </w:rPr>
              <w:t>(13)</w:t>
            </w:r>
            <w:r w:rsidRPr="00265E49">
              <w:rPr>
                <w:rtl/>
              </w:rPr>
              <w:tab/>
              <w:t>ה</w:t>
            </w:r>
            <w:r w:rsidRPr="00265E49">
              <w:rPr>
                <w:rFonts w:hint="cs"/>
                <w:rtl/>
              </w:rPr>
              <w:t xml:space="preserve">כנסת בעלי חיים שלא </w:t>
            </w:r>
            <w:r>
              <w:rPr>
                <w:rFonts w:hint="cs"/>
                <w:rtl/>
              </w:rPr>
              <w:t>ב</w:t>
            </w:r>
            <w:r w:rsidRPr="00265E49">
              <w:rPr>
                <w:rFonts w:hint="cs"/>
                <w:rtl/>
              </w:rPr>
              <w:t xml:space="preserve">היתר מאת הממונה, בכפוף להוראות </w:t>
            </w:r>
            <w:r w:rsidRPr="00265E49">
              <w:rPr>
                <w:rtl/>
              </w:rPr>
              <w:t xml:space="preserve">חוק איסור הפליית אנשים עם עיוורון המלווים בכלבי נחייה, </w:t>
            </w:r>
            <w:r w:rsidRPr="00265E49">
              <w:rPr>
                <w:rFonts w:hint="cs"/>
                <w:rtl/>
              </w:rPr>
              <w:t>ה</w:t>
            </w:r>
            <w:r w:rsidRPr="00265E49">
              <w:rPr>
                <w:rtl/>
              </w:rPr>
              <w:t>תשנ"ג</w:t>
            </w:r>
            <w:r w:rsidRPr="00265E49">
              <w:rPr>
                <w:rFonts w:hint="cs"/>
                <w:rtl/>
              </w:rPr>
              <w:t>–</w:t>
            </w:r>
            <w:r w:rsidRPr="00265E49">
              <w:rPr>
                <w:rtl/>
              </w:rPr>
              <w:t>1993</w:t>
            </w:r>
            <w:r w:rsidRPr="00265E49">
              <w:rPr>
                <w:rFonts w:hint="cs"/>
                <w:rtl/>
              </w:rPr>
              <w:t>;</w:t>
            </w:r>
          </w:p>
        </w:tc>
      </w:tr>
      <w:tr w:rsidRPr="00265E49" w:rsidR="002206F8" w:rsidTr="009974B9" w14:paraId="385C61AC" w14:textId="77777777">
        <w:trPr>
          <w:cantSplit/>
        </w:trPr>
        <w:tc>
          <w:tcPr>
            <w:tcW w:w="1871" w:type="dxa"/>
          </w:tcPr>
          <w:p w:rsidR="002206F8" w:rsidP="009974B9" w:rsidRDefault="002206F8" w14:paraId="30A70691" w14:textId="77777777">
            <w:pPr>
              <w:pStyle w:val="TableSideHeading"/>
              <w:ind w:right="0"/>
              <w:rPr>
                <w:rtl/>
              </w:rPr>
            </w:pPr>
          </w:p>
        </w:tc>
        <w:tc>
          <w:tcPr>
            <w:tcW w:w="624" w:type="dxa"/>
          </w:tcPr>
          <w:p w:rsidR="002206F8" w:rsidP="009974B9" w:rsidRDefault="002206F8" w14:paraId="12B3BA33" w14:textId="77777777">
            <w:pPr>
              <w:pStyle w:val="TableText"/>
              <w:ind w:right="0"/>
              <w:jc w:val="both"/>
            </w:pPr>
          </w:p>
        </w:tc>
        <w:tc>
          <w:tcPr>
            <w:tcW w:w="624" w:type="dxa"/>
          </w:tcPr>
          <w:p w:rsidRPr="00265E49" w:rsidR="002206F8" w:rsidP="009974B9" w:rsidRDefault="002206F8" w14:paraId="13FB01FC" w14:textId="77777777">
            <w:pPr>
              <w:pStyle w:val="TableText"/>
              <w:ind w:right="0"/>
              <w:jc w:val="both"/>
              <w:rPr>
                <w:rtl/>
              </w:rPr>
            </w:pPr>
          </w:p>
        </w:tc>
        <w:tc>
          <w:tcPr>
            <w:tcW w:w="6519" w:type="dxa"/>
          </w:tcPr>
          <w:p w:rsidRPr="00265E49" w:rsidR="002206F8" w:rsidP="009974B9" w:rsidRDefault="002206F8" w14:paraId="1F87D0A7" w14:textId="77777777">
            <w:pPr>
              <w:pStyle w:val="TableBlock"/>
              <w:rPr>
                <w:rtl/>
              </w:rPr>
            </w:pPr>
            <w:r w:rsidRPr="00265E49">
              <w:rPr>
                <w:rFonts w:hint="cs"/>
                <w:rtl/>
              </w:rPr>
              <w:t>(14)</w:t>
            </w:r>
            <w:r w:rsidRPr="00265E49">
              <w:rPr>
                <w:rFonts w:hint="cs"/>
                <w:rtl/>
              </w:rPr>
              <w:tab/>
            </w:r>
            <w:r w:rsidRPr="00265E49">
              <w:rPr>
                <w:rtl/>
              </w:rPr>
              <w:t xml:space="preserve">מעשה העלול להפריע את המתפללים בתפילתם;  </w:t>
            </w:r>
          </w:p>
        </w:tc>
      </w:tr>
      <w:tr w:rsidRPr="00265E49" w:rsidR="002206F8" w:rsidTr="009974B9" w14:paraId="68D3D5F4" w14:textId="77777777">
        <w:trPr>
          <w:cantSplit/>
        </w:trPr>
        <w:tc>
          <w:tcPr>
            <w:tcW w:w="1871" w:type="dxa"/>
          </w:tcPr>
          <w:p w:rsidR="002206F8" w:rsidP="009974B9" w:rsidRDefault="002206F8" w14:paraId="4B1BD681" w14:textId="77777777">
            <w:pPr>
              <w:pStyle w:val="TableSideHeading"/>
              <w:ind w:right="0"/>
              <w:rPr>
                <w:rtl/>
              </w:rPr>
            </w:pPr>
          </w:p>
        </w:tc>
        <w:tc>
          <w:tcPr>
            <w:tcW w:w="624" w:type="dxa"/>
          </w:tcPr>
          <w:p w:rsidR="002206F8" w:rsidP="009974B9" w:rsidRDefault="002206F8" w14:paraId="0600F699" w14:textId="77777777">
            <w:pPr>
              <w:pStyle w:val="TableText"/>
              <w:ind w:right="0"/>
              <w:jc w:val="both"/>
            </w:pPr>
          </w:p>
        </w:tc>
        <w:tc>
          <w:tcPr>
            <w:tcW w:w="624" w:type="dxa"/>
          </w:tcPr>
          <w:p w:rsidRPr="00265E49" w:rsidR="002206F8" w:rsidP="009974B9" w:rsidRDefault="002206F8" w14:paraId="6E00F5FD" w14:textId="77777777">
            <w:pPr>
              <w:pStyle w:val="TableText"/>
              <w:ind w:right="0"/>
              <w:jc w:val="both"/>
              <w:rPr>
                <w:rtl/>
              </w:rPr>
            </w:pPr>
          </w:p>
        </w:tc>
        <w:tc>
          <w:tcPr>
            <w:tcW w:w="6519" w:type="dxa"/>
          </w:tcPr>
          <w:p w:rsidRPr="00265E49" w:rsidR="002206F8" w:rsidP="009974B9" w:rsidRDefault="002206F8" w14:paraId="35E9E3C5" w14:textId="77777777">
            <w:pPr>
              <w:pStyle w:val="TableBlock"/>
              <w:rPr>
                <w:rtl/>
              </w:rPr>
            </w:pPr>
            <w:r w:rsidRPr="00265E49">
              <w:rPr>
                <w:rFonts w:hint="cs"/>
                <w:rtl/>
              </w:rPr>
              <w:t>(15)</w:t>
            </w:r>
            <w:r w:rsidRPr="00265E49">
              <w:rPr>
                <w:rtl/>
              </w:rPr>
              <w:tab/>
              <w:t>תפילה מעורבת של גברים ונשים</w:t>
            </w:r>
            <w:r w:rsidRPr="00265E49">
              <w:rPr>
                <w:rFonts w:hint="cs"/>
                <w:rtl/>
              </w:rPr>
              <w:t>;</w:t>
            </w:r>
          </w:p>
        </w:tc>
      </w:tr>
      <w:tr w:rsidRPr="00265E49" w:rsidR="002206F8" w:rsidTr="009974B9" w14:paraId="6B3E0196" w14:textId="77777777">
        <w:trPr>
          <w:cantSplit/>
        </w:trPr>
        <w:tc>
          <w:tcPr>
            <w:tcW w:w="1871" w:type="dxa"/>
          </w:tcPr>
          <w:p w:rsidR="002206F8" w:rsidP="009974B9" w:rsidRDefault="002206F8" w14:paraId="21C3E63B" w14:textId="77777777">
            <w:pPr>
              <w:pStyle w:val="TableSideHeading"/>
              <w:ind w:right="0"/>
              <w:rPr>
                <w:rtl/>
              </w:rPr>
            </w:pPr>
          </w:p>
        </w:tc>
        <w:tc>
          <w:tcPr>
            <w:tcW w:w="624" w:type="dxa"/>
          </w:tcPr>
          <w:p w:rsidR="002206F8" w:rsidP="009974B9" w:rsidRDefault="002206F8" w14:paraId="7364312F" w14:textId="77777777">
            <w:pPr>
              <w:pStyle w:val="TableText"/>
              <w:ind w:right="0"/>
              <w:jc w:val="both"/>
            </w:pPr>
          </w:p>
        </w:tc>
        <w:tc>
          <w:tcPr>
            <w:tcW w:w="624" w:type="dxa"/>
          </w:tcPr>
          <w:p w:rsidRPr="00265E49" w:rsidR="002206F8" w:rsidP="009974B9" w:rsidRDefault="002206F8" w14:paraId="65BFCA6A" w14:textId="77777777">
            <w:pPr>
              <w:pStyle w:val="TableText"/>
              <w:ind w:right="0"/>
              <w:jc w:val="both"/>
              <w:rPr>
                <w:rtl/>
              </w:rPr>
            </w:pPr>
          </w:p>
        </w:tc>
        <w:tc>
          <w:tcPr>
            <w:tcW w:w="6519" w:type="dxa"/>
          </w:tcPr>
          <w:p w:rsidRPr="00265E49" w:rsidR="002206F8" w:rsidP="009974B9" w:rsidRDefault="002206F8" w14:paraId="09C5258B" w14:textId="77777777">
            <w:pPr>
              <w:pStyle w:val="TableBlock"/>
              <w:rPr>
                <w:rtl/>
              </w:rPr>
            </w:pPr>
            <w:r w:rsidRPr="00265E49">
              <w:rPr>
                <w:rFonts w:hint="cs"/>
                <w:rtl/>
              </w:rPr>
              <w:t>(16)</w:t>
            </w:r>
            <w:r w:rsidRPr="00265E49">
              <w:rPr>
                <w:rFonts w:hint="cs"/>
                <w:rtl/>
              </w:rPr>
              <w:tab/>
              <w:t>בתחום עזרת נשים</w:t>
            </w:r>
            <w:r>
              <w:rPr>
                <w:rFonts w:hint="cs"/>
                <w:rtl/>
              </w:rPr>
              <w:t>, כמשמעותה בסעיף 5</w:t>
            </w:r>
            <w:r w:rsidRPr="00265E49">
              <w:rPr>
                <w:rFonts w:hint="cs"/>
                <w:rtl/>
              </w:rPr>
              <w:t xml:space="preserve"> </w:t>
            </w:r>
            <w:r w:rsidRPr="00265E49">
              <w:rPr>
                <w:rFonts w:hint="eastAsia"/>
                <w:rtl/>
              </w:rPr>
              <w:t xml:space="preserve">– </w:t>
            </w:r>
            <w:r w:rsidRPr="00265E49">
              <w:rPr>
                <w:rFonts w:hint="cs"/>
                <w:rtl/>
              </w:rPr>
              <w:t xml:space="preserve">עריכת </w:t>
            </w:r>
            <w:r w:rsidRPr="00265E49">
              <w:rPr>
                <w:rtl/>
              </w:rPr>
              <w:t xml:space="preserve">טקס </w:t>
            </w:r>
            <w:r w:rsidRPr="00265E49">
              <w:rPr>
                <w:rFonts w:hint="cs"/>
                <w:rtl/>
              </w:rPr>
              <w:t xml:space="preserve">הכולל </w:t>
            </w:r>
            <w:r w:rsidRPr="00265E49">
              <w:rPr>
                <w:rtl/>
              </w:rPr>
              <w:t>הוצאת ספר תורה וקריאה בו, תקיע</w:t>
            </w:r>
            <w:r w:rsidRPr="00265E49">
              <w:rPr>
                <w:rFonts w:hint="cs"/>
                <w:rtl/>
              </w:rPr>
              <w:t>ה</w:t>
            </w:r>
            <w:r w:rsidRPr="00265E49">
              <w:rPr>
                <w:rtl/>
              </w:rPr>
              <w:t xml:space="preserve"> </w:t>
            </w:r>
            <w:r w:rsidRPr="00265E49">
              <w:rPr>
                <w:rFonts w:hint="cs"/>
                <w:rtl/>
              </w:rPr>
              <w:t>ב</w:t>
            </w:r>
            <w:r w:rsidRPr="00265E49">
              <w:rPr>
                <w:rtl/>
              </w:rPr>
              <w:t xml:space="preserve">שופר, </w:t>
            </w:r>
            <w:r>
              <w:rPr>
                <w:rFonts w:hint="cs"/>
                <w:rtl/>
              </w:rPr>
              <w:t>התעטפות</w:t>
            </w:r>
            <w:r w:rsidRPr="00265E49">
              <w:rPr>
                <w:rtl/>
              </w:rPr>
              <w:t xml:space="preserve"> </w:t>
            </w:r>
            <w:r>
              <w:rPr>
                <w:rFonts w:hint="cs"/>
                <w:rtl/>
              </w:rPr>
              <w:t>ב</w:t>
            </w:r>
            <w:r w:rsidRPr="00265E49">
              <w:rPr>
                <w:rtl/>
              </w:rPr>
              <w:t xml:space="preserve">טלית </w:t>
            </w:r>
            <w:r>
              <w:rPr>
                <w:rFonts w:hint="cs"/>
                <w:rtl/>
              </w:rPr>
              <w:t xml:space="preserve">או </w:t>
            </w:r>
            <w:r w:rsidRPr="00265E49">
              <w:rPr>
                <w:rFonts w:hint="cs"/>
                <w:rtl/>
              </w:rPr>
              <w:t xml:space="preserve">הנחת </w:t>
            </w:r>
            <w:r w:rsidRPr="00265E49">
              <w:rPr>
                <w:rtl/>
              </w:rPr>
              <w:t>תפילין</w:t>
            </w:r>
            <w:r w:rsidRPr="00265E49">
              <w:rPr>
                <w:rFonts w:hint="cs"/>
                <w:rtl/>
              </w:rPr>
              <w:t>.</w:t>
            </w:r>
          </w:p>
        </w:tc>
      </w:tr>
      <w:tr w:rsidRPr="00C34DE2" w:rsidR="002206F8" w:rsidTr="009974B9" w14:paraId="793FEA4E" w14:textId="77777777">
        <w:trPr>
          <w:cantSplit/>
        </w:trPr>
        <w:tc>
          <w:tcPr>
            <w:tcW w:w="1871" w:type="dxa"/>
          </w:tcPr>
          <w:p w:rsidR="002206F8" w:rsidP="009974B9" w:rsidRDefault="002206F8" w14:paraId="44CFCB42" w14:textId="77777777">
            <w:pPr>
              <w:pStyle w:val="TableSideHeading"/>
            </w:pPr>
          </w:p>
        </w:tc>
        <w:tc>
          <w:tcPr>
            <w:tcW w:w="624" w:type="dxa"/>
          </w:tcPr>
          <w:p w:rsidR="002206F8" w:rsidP="009974B9" w:rsidRDefault="002206F8" w14:paraId="72B56EE0" w14:textId="77777777">
            <w:pPr>
              <w:pStyle w:val="TableText"/>
            </w:pPr>
          </w:p>
        </w:tc>
        <w:tc>
          <w:tcPr>
            <w:tcW w:w="7143" w:type="dxa"/>
            <w:gridSpan w:val="2"/>
          </w:tcPr>
          <w:p w:rsidRPr="00C34DE2" w:rsidR="002206F8" w:rsidP="009974B9" w:rsidRDefault="002206F8" w14:paraId="356B87A7" w14:textId="25853A1D">
            <w:pPr>
              <w:pStyle w:val="TableBlock"/>
            </w:pPr>
            <w:r>
              <w:rPr>
                <w:rFonts w:hint="cs"/>
                <w:rtl/>
              </w:rPr>
              <w:t>(ב)</w:t>
            </w:r>
            <w:r>
              <w:rPr>
                <w:rtl/>
              </w:rPr>
              <w:tab/>
            </w:r>
            <w:r>
              <w:rPr>
                <w:rFonts w:hint="cs"/>
                <w:rtl/>
              </w:rPr>
              <w:t>פסקאות (4) עד (6) ו</w:t>
            </w:r>
            <w:r w:rsidR="009B1959">
              <w:rPr>
                <w:rFonts w:hint="cs"/>
                <w:rtl/>
              </w:rPr>
              <w:t>–</w:t>
            </w:r>
            <w:r>
              <w:rPr>
                <w:rFonts w:hint="cs"/>
                <w:rtl/>
              </w:rPr>
              <w:t xml:space="preserve">(8) עד (13) לא יחולו באזור שער האשפות. </w:t>
            </w:r>
          </w:p>
        </w:tc>
      </w:tr>
      <w:tr w:rsidRPr="00806127" w:rsidR="002206F8" w:rsidTr="009974B9" w14:paraId="29043FB6" w14:textId="77777777">
        <w:trPr>
          <w:cantSplit/>
        </w:trPr>
        <w:tc>
          <w:tcPr>
            <w:tcW w:w="1871" w:type="dxa"/>
          </w:tcPr>
          <w:p w:rsidR="002206F8" w:rsidP="009974B9" w:rsidRDefault="002206F8" w14:paraId="240CADF8" w14:textId="77777777">
            <w:pPr>
              <w:pStyle w:val="TableSideHeading"/>
              <w:rPr>
                <w:rtl/>
              </w:rPr>
            </w:pPr>
            <w:r>
              <w:rPr>
                <w:rFonts w:hint="cs"/>
                <w:rtl/>
              </w:rPr>
              <w:t>מחלוקת לעניין מנהג המקום</w:t>
            </w:r>
          </w:p>
        </w:tc>
        <w:tc>
          <w:tcPr>
            <w:tcW w:w="624" w:type="dxa"/>
          </w:tcPr>
          <w:p w:rsidR="002206F8" w:rsidP="009974B9" w:rsidRDefault="002206F8" w14:paraId="157AD1D9" w14:textId="77777777">
            <w:pPr>
              <w:pStyle w:val="TableText"/>
            </w:pPr>
            <w:r>
              <w:rPr>
                <w:rFonts w:hint="cs"/>
                <w:rtl/>
              </w:rPr>
              <w:t>4.</w:t>
            </w:r>
          </w:p>
        </w:tc>
        <w:tc>
          <w:tcPr>
            <w:tcW w:w="7143" w:type="dxa"/>
            <w:gridSpan w:val="2"/>
          </w:tcPr>
          <w:p w:rsidRPr="00806127" w:rsidR="002206F8" w:rsidP="009974B9" w:rsidRDefault="002206F8" w14:paraId="23D121A3" w14:textId="77777777">
            <w:pPr>
              <w:pStyle w:val="TableBlock"/>
              <w:rPr>
                <w:rtl/>
              </w:rPr>
            </w:pPr>
            <w:r>
              <w:rPr>
                <w:rFonts w:hint="cs"/>
                <w:rtl/>
              </w:rPr>
              <w:t>התעוררה מחלוקת האם מנהג פלוני הוא מנהג המקום, יכריע בה הרב הממונה, לאחר התייעצות עם הרבנים הראשיים לישראל.</w:t>
            </w:r>
          </w:p>
        </w:tc>
      </w:tr>
      <w:tr w:rsidRPr="00C34DE2" w:rsidR="002206F8" w:rsidTr="009974B9" w14:paraId="2C80B4BA" w14:textId="77777777">
        <w:trPr>
          <w:cantSplit/>
        </w:trPr>
        <w:tc>
          <w:tcPr>
            <w:tcW w:w="1871" w:type="dxa"/>
          </w:tcPr>
          <w:p w:rsidR="002206F8" w:rsidP="009974B9" w:rsidRDefault="002206F8" w14:paraId="230CE643" w14:textId="77777777">
            <w:pPr>
              <w:pStyle w:val="TableSideHeading"/>
            </w:pPr>
            <w:r>
              <w:rPr>
                <w:rFonts w:hint="cs"/>
                <w:rtl/>
              </w:rPr>
              <w:t>אזור עזרת גברים ואזור עזרת נשים</w:t>
            </w:r>
          </w:p>
        </w:tc>
        <w:tc>
          <w:tcPr>
            <w:tcW w:w="624" w:type="dxa"/>
          </w:tcPr>
          <w:p w:rsidR="002206F8" w:rsidP="009974B9" w:rsidRDefault="002206F8" w14:paraId="40EA5435" w14:textId="77777777">
            <w:pPr>
              <w:pStyle w:val="TableText"/>
            </w:pPr>
            <w:r>
              <w:rPr>
                <w:rFonts w:hint="cs"/>
                <w:rtl/>
              </w:rPr>
              <w:t>5.</w:t>
            </w:r>
          </w:p>
        </w:tc>
        <w:tc>
          <w:tcPr>
            <w:tcW w:w="7143" w:type="dxa"/>
            <w:gridSpan w:val="2"/>
          </w:tcPr>
          <w:p w:rsidRPr="00C34DE2" w:rsidR="002206F8" w:rsidP="009974B9" w:rsidRDefault="002206F8" w14:paraId="78AD541C" w14:textId="77777777">
            <w:pPr>
              <w:pStyle w:val="TableBlock"/>
            </w:pPr>
            <w:r>
              <w:rPr>
                <w:rFonts w:hint="cs"/>
                <w:sz w:val="26"/>
                <w:rtl/>
              </w:rPr>
              <w:t>(א)</w:t>
            </w:r>
            <w:r>
              <w:rPr>
                <w:sz w:val="26"/>
                <w:rtl/>
              </w:rPr>
              <w:tab/>
            </w:r>
            <w:r>
              <w:rPr>
                <w:rFonts w:hint="cs"/>
                <w:sz w:val="26"/>
                <w:rtl/>
              </w:rPr>
              <w:t>רחבת</w:t>
            </w:r>
            <w:r w:rsidRPr="00806127">
              <w:rPr>
                <w:rFonts w:hint="cs"/>
                <w:sz w:val="26"/>
                <w:rtl/>
              </w:rPr>
              <w:t xml:space="preserve"> התפילה </w:t>
            </w:r>
            <w:r>
              <w:rPr>
                <w:rFonts w:hint="cs"/>
                <w:sz w:val="26"/>
                <w:rtl/>
              </w:rPr>
              <w:t>ת</w:t>
            </w:r>
            <w:r w:rsidRPr="00806127">
              <w:rPr>
                <w:rFonts w:hint="cs"/>
                <w:sz w:val="26"/>
                <w:rtl/>
              </w:rPr>
              <w:t>חולק ל</w:t>
            </w:r>
            <w:r>
              <w:rPr>
                <w:rFonts w:hint="cs"/>
                <w:sz w:val="26"/>
                <w:rtl/>
              </w:rPr>
              <w:t xml:space="preserve">אזור </w:t>
            </w:r>
            <w:r w:rsidRPr="00806127">
              <w:rPr>
                <w:rFonts w:hint="cs"/>
                <w:sz w:val="26"/>
                <w:rtl/>
              </w:rPr>
              <w:t>עזרת גברים</w:t>
            </w:r>
            <w:r>
              <w:rPr>
                <w:rFonts w:hint="cs"/>
                <w:sz w:val="26"/>
                <w:rtl/>
              </w:rPr>
              <w:t xml:space="preserve"> (בחוק זה </w:t>
            </w:r>
            <w:r>
              <w:rPr>
                <w:sz w:val="26"/>
                <w:rtl/>
              </w:rPr>
              <w:t>–</w:t>
            </w:r>
            <w:r>
              <w:rPr>
                <w:rFonts w:hint="cs"/>
                <w:sz w:val="26"/>
                <w:rtl/>
              </w:rPr>
              <w:t xml:space="preserve"> עזרת גברים)</w:t>
            </w:r>
            <w:r w:rsidRPr="00806127">
              <w:rPr>
                <w:rFonts w:hint="cs"/>
                <w:sz w:val="26"/>
                <w:rtl/>
              </w:rPr>
              <w:t xml:space="preserve"> ול</w:t>
            </w:r>
            <w:r>
              <w:rPr>
                <w:rFonts w:hint="cs"/>
                <w:sz w:val="26"/>
                <w:rtl/>
              </w:rPr>
              <w:t xml:space="preserve">אזור </w:t>
            </w:r>
            <w:r w:rsidRPr="00806127">
              <w:rPr>
                <w:rFonts w:hint="cs"/>
                <w:sz w:val="26"/>
                <w:rtl/>
              </w:rPr>
              <w:t xml:space="preserve">עזרת נשים </w:t>
            </w:r>
            <w:r>
              <w:rPr>
                <w:rFonts w:hint="cs"/>
                <w:sz w:val="26"/>
                <w:rtl/>
              </w:rPr>
              <w:t xml:space="preserve">(בחוק זה </w:t>
            </w:r>
            <w:r>
              <w:rPr>
                <w:sz w:val="26"/>
                <w:rtl/>
              </w:rPr>
              <w:t>–</w:t>
            </w:r>
            <w:r>
              <w:rPr>
                <w:rFonts w:hint="cs"/>
                <w:sz w:val="26"/>
                <w:rtl/>
              </w:rPr>
              <w:t xml:space="preserve"> עזרת נשים) </w:t>
            </w:r>
            <w:r w:rsidRPr="006833B4">
              <w:rPr>
                <w:rFonts w:hint="eastAsia"/>
                <w:sz w:val="26"/>
                <w:rtl/>
              </w:rPr>
              <w:t>באמצעות</w:t>
            </w:r>
            <w:r w:rsidRPr="006833B4">
              <w:rPr>
                <w:sz w:val="26"/>
                <w:rtl/>
              </w:rPr>
              <w:t xml:space="preserve"> </w:t>
            </w:r>
            <w:r w:rsidRPr="006833B4">
              <w:rPr>
                <w:rFonts w:hint="eastAsia"/>
                <w:sz w:val="26"/>
                <w:rtl/>
              </w:rPr>
              <w:t>מחיצה</w:t>
            </w:r>
            <w:r w:rsidRPr="006833B4">
              <w:rPr>
                <w:sz w:val="26"/>
                <w:rtl/>
              </w:rPr>
              <w:t>.</w:t>
            </w:r>
          </w:p>
        </w:tc>
      </w:tr>
      <w:tr w:rsidR="002206F8" w:rsidTr="009974B9" w14:paraId="2C43A129" w14:textId="77777777">
        <w:trPr>
          <w:cantSplit/>
        </w:trPr>
        <w:tc>
          <w:tcPr>
            <w:tcW w:w="1871" w:type="dxa"/>
          </w:tcPr>
          <w:p w:rsidR="002206F8" w:rsidP="009974B9" w:rsidRDefault="002206F8" w14:paraId="60A21577" w14:textId="77777777">
            <w:pPr>
              <w:pStyle w:val="TableSideHeading"/>
              <w:rPr>
                <w:rtl/>
              </w:rPr>
            </w:pPr>
          </w:p>
        </w:tc>
        <w:tc>
          <w:tcPr>
            <w:tcW w:w="624" w:type="dxa"/>
          </w:tcPr>
          <w:p w:rsidR="002206F8" w:rsidP="009974B9" w:rsidRDefault="002206F8" w14:paraId="451E6486" w14:textId="77777777">
            <w:pPr>
              <w:pStyle w:val="TableText"/>
              <w:rPr>
                <w:rtl/>
              </w:rPr>
            </w:pPr>
          </w:p>
        </w:tc>
        <w:tc>
          <w:tcPr>
            <w:tcW w:w="7143" w:type="dxa"/>
            <w:gridSpan w:val="2"/>
          </w:tcPr>
          <w:p w:rsidR="002206F8" w:rsidP="009974B9" w:rsidRDefault="002206F8" w14:paraId="3A0350E8" w14:textId="77777777">
            <w:pPr>
              <w:pStyle w:val="TableBlock"/>
              <w:rPr>
                <w:sz w:val="26"/>
                <w:rtl/>
              </w:rPr>
            </w:pPr>
            <w:r>
              <w:rPr>
                <w:rFonts w:hint="cs"/>
                <w:sz w:val="26"/>
                <w:rtl/>
              </w:rPr>
              <w:t>(ב)</w:t>
            </w:r>
            <w:r>
              <w:rPr>
                <w:sz w:val="26"/>
                <w:rtl/>
              </w:rPr>
              <w:tab/>
            </w:r>
            <w:r>
              <w:rPr>
                <w:rFonts w:hint="cs"/>
                <w:sz w:val="26"/>
                <w:rtl/>
              </w:rPr>
              <w:t xml:space="preserve">לא יכנס גבר לעזרת נשים ולא תיכנס אישה לעזרת גברים, אלא בהיתר מהממונה. </w:t>
            </w:r>
          </w:p>
        </w:tc>
      </w:tr>
      <w:tr w:rsidRPr="00806127" w:rsidR="002206F8" w:rsidTr="009974B9" w14:paraId="3F52642C" w14:textId="77777777">
        <w:trPr>
          <w:cantSplit/>
        </w:trPr>
        <w:tc>
          <w:tcPr>
            <w:tcW w:w="1871" w:type="dxa"/>
          </w:tcPr>
          <w:p w:rsidR="002206F8" w:rsidP="009974B9" w:rsidRDefault="002206F8" w14:paraId="398A634F" w14:textId="77777777">
            <w:pPr>
              <w:pStyle w:val="TableSideHeading"/>
              <w:rPr>
                <w:rtl/>
              </w:rPr>
            </w:pPr>
            <w:r w:rsidRPr="00806127">
              <w:rPr>
                <w:rFonts w:hint="cs"/>
                <w:sz w:val="26"/>
                <w:rtl/>
              </w:rPr>
              <w:t>צילום</w:t>
            </w:r>
            <w:r>
              <w:rPr>
                <w:rFonts w:hint="cs"/>
                <w:rtl/>
              </w:rPr>
              <w:t xml:space="preserve"> בשכר בכותל</w:t>
            </w:r>
          </w:p>
        </w:tc>
        <w:tc>
          <w:tcPr>
            <w:tcW w:w="624" w:type="dxa"/>
          </w:tcPr>
          <w:p w:rsidR="002206F8" w:rsidP="009974B9" w:rsidRDefault="002206F8" w14:paraId="0D109722" w14:textId="77777777">
            <w:pPr>
              <w:pStyle w:val="TableText"/>
              <w:rPr>
                <w:rtl/>
              </w:rPr>
            </w:pPr>
            <w:r>
              <w:rPr>
                <w:rFonts w:hint="cs"/>
                <w:rtl/>
              </w:rPr>
              <w:t>6.</w:t>
            </w:r>
          </w:p>
        </w:tc>
        <w:tc>
          <w:tcPr>
            <w:tcW w:w="7143" w:type="dxa"/>
            <w:gridSpan w:val="2"/>
          </w:tcPr>
          <w:p w:rsidRPr="00806127" w:rsidR="002206F8" w:rsidP="009974B9" w:rsidRDefault="002206F8" w14:paraId="5082A720" w14:textId="77777777">
            <w:pPr>
              <w:pStyle w:val="TableBlock"/>
              <w:rPr>
                <w:sz w:val="26"/>
                <w:rtl/>
              </w:rPr>
            </w:pPr>
            <w:r>
              <w:rPr>
                <w:rFonts w:hint="cs"/>
                <w:sz w:val="26"/>
                <w:rtl/>
              </w:rPr>
              <w:t>(א)</w:t>
            </w:r>
            <w:r>
              <w:rPr>
                <w:sz w:val="26"/>
                <w:rtl/>
              </w:rPr>
              <w:tab/>
            </w:r>
            <w:r w:rsidRPr="00806127">
              <w:rPr>
                <w:rFonts w:hint="cs"/>
                <w:sz w:val="26"/>
                <w:rtl/>
              </w:rPr>
              <w:t>לא יצלם אדם תמורת שכר</w:t>
            </w:r>
            <w:r>
              <w:rPr>
                <w:rFonts w:hint="cs"/>
                <w:sz w:val="26"/>
                <w:rtl/>
              </w:rPr>
              <w:t xml:space="preserve"> בכותל המערבי,</w:t>
            </w:r>
            <w:r w:rsidRPr="00806127">
              <w:rPr>
                <w:rFonts w:hint="cs"/>
                <w:sz w:val="26"/>
                <w:rtl/>
              </w:rPr>
              <w:t xml:space="preserve"> אלא בהיתר</w:t>
            </w:r>
            <w:r>
              <w:rPr>
                <w:rFonts w:hint="cs"/>
                <w:sz w:val="26"/>
                <w:rtl/>
              </w:rPr>
              <w:t xml:space="preserve"> </w:t>
            </w:r>
            <w:r w:rsidRPr="00806127">
              <w:rPr>
                <w:rFonts w:hint="cs"/>
                <w:sz w:val="26"/>
                <w:rtl/>
              </w:rPr>
              <w:t>הממונה.</w:t>
            </w:r>
          </w:p>
        </w:tc>
      </w:tr>
      <w:tr w:rsidR="002206F8" w:rsidTr="009974B9" w14:paraId="328522F9" w14:textId="77777777">
        <w:trPr>
          <w:cantSplit/>
        </w:trPr>
        <w:tc>
          <w:tcPr>
            <w:tcW w:w="1871" w:type="dxa"/>
          </w:tcPr>
          <w:p w:rsidR="002206F8" w:rsidP="009974B9" w:rsidRDefault="002206F8" w14:paraId="56D9B4E3" w14:textId="77777777">
            <w:pPr>
              <w:pStyle w:val="TableSideHeading"/>
              <w:rPr>
                <w:rtl/>
              </w:rPr>
            </w:pPr>
          </w:p>
        </w:tc>
        <w:tc>
          <w:tcPr>
            <w:tcW w:w="624" w:type="dxa"/>
          </w:tcPr>
          <w:p w:rsidR="002206F8" w:rsidP="009974B9" w:rsidRDefault="002206F8" w14:paraId="78FD5E8C" w14:textId="77777777">
            <w:pPr>
              <w:pStyle w:val="TableText"/>
              <w:rPr>
                <w:rtl/>
              </w:rPr>
            </w:pPr>
          </w:p>
        </w:tc>
        <w:tc>
          <w:tcPr>
            <w:tcW w:w="7143" w:type="dxa"/>
            <w:gridSpan w:val="2"/>
          </w:tcPr>
          <w:p w:rsidR="002206F8" w:rsidP="009974B9" w:rsidRDefault="002206F8" w14:paraId="2B212B41" w14:textId="77777777">
            <w:pPr>
              <w:pStyle w:val="TableBlock"/>
              <w:rPr>
                <w:sz w:val="26"/>
                <w:rtl/>
              </w:rPr>
            </w:pPr>
            <w:r>
              <w:rPr>
                <w:rFonts w:hint="cs"/>
                <w:sz w:val="26"/>
                <w:rtl/>
              </w:rPr>
              <w:t>(ב)</w:t>
            </w:r>
            <w:r>
              <w:rPr>
                <w:sz w:val="26"/>
                <w:rtl/>
              </w:rPr>
              <w:tab/>
            </w:r>
            <w:r w:rsidRPr="00806127">
              <w:rPr>
                <w:rFonts w:hint="cs"/>
                <w:sz w:val="26"/>
                <w:rtl/>
              </w:rPr>
              <w:t>הממונה רשאי</w:t>
            </w:r>
            <w:r>
              <w:rPr>
                <w:rFonts w:hint="cs"/>
                <w:sz w:val="26"/>
                <w:rtl/>
              </w:rPr>
              <w:t>,</w:t>
            </w:r>
            <w:r w:rsidRPr="00806127">
              <w:rPr>
                <w:rFonts w:hint="cs"/>
                <w:sz w:val="26"/>
                <w:rtl/>
              </w:rPr>
              <w:t xml:space="preserve"> לפי שיקול דעתו</w:t>
            </w:r>
            <w:r>
              <w:rPr>
                <w:rFonts w:hint="cs"/>
                <w:sz w:val="26"/>
                <w:rtl/>
              </w:rPr>
              <w:t>,</w:t>
            </w:r>
            <w:r w:rsidRPr="00806127">
              <w:rPr>
                <w:rFonts w:hint="cs"/>
                <w:sz w:val="26"/>
                <w:rtl/>
              </w:rPr>
              <w:t xml:space="preserve"> ליתן היתר כאמור</w:t>
            </w:r>
            <w:r>
              <w:rPr>
                <w:rFonts w:hint="cs"/>
                <w:sz w:val="26"/>
                <w:rtl/>
              </w:rPr>
              <w:t xml:space="preserve"> בסעיף קטן (א),</w:t>
            </w:r>
            <w:r w:rsidRPr="00806127">
              <w:rPr>
                <w:rFonts w:hint="cs"/>
                <w:sz w:val="26"/>
                <w:rtl/>
              </w:rPr>
              <w:t xml:space="preserve"> אם הצילום </w:t>
            </w:r>
            <w:r>
              <w:rPr>
                <w:rFonts w:hint="cs"/>
                <w:sz w:val="26"/>
                <w:rtl/>
              </w:rPr>
              <w:t>שלגביו מתבקש ההיתר הוא</w:t>
            </w:r>
            <w:r w:rsidRPr="00806127">
              <w:rPr>
                <w:rFonts w:hint="cs"/>
                <w:sz w:val="26"/>
                <w:rtl/>
              </w:rPr>
              <w:t xml:space="preserve"> למטרות חינוך, תרבות או דת או לשם הצגה בקולנוע או בטלוויזי</w:t>
            </w:r>
            <w:r w:rsidRPr="00806127">
              <w:rPr>
                <w:rFonts w:hint="eastAsia"/>
                <w:sz w:val="26"/>
                <w:rtl/>
              </w:rPr>
              <w:t>ה</w:t>
            </w:r>
            <w:r w:rsidRPr="00806127">
              <w:rPr>
                <w:rFonts w:hint="cs"/>
                <w:sz w:val="26"/>
                <w:rtl/>
              </w:rPr>
              <w:t xml:space="preserve"> או </w:t>
            </w:r>
            <w:r>
              <w:rPr>
                <w:rFonts w:hint="cs"/>
                <w:sz w:val="26"/>
                <w:rtl/>
              </w:rPr>
              <w:t>ב</w:t>
            </w:r>
            <w:r w:rsidRPr="00806127">
              <w:rPr>
                <w:rFonts w:hint="cs"/>
                <w:sz w:val="26"/>
                <w:rtl/>
              </w:rPr>
              <w:t xml:space="preserve">אמצעי </w:t>
            </w:r>
            <w:r>
              <w:rPr>
                <w:rFonts w:hint="cs"/>
                <w:sz w:val="26"/>
                <w:rtl/>
              </w:rPr>
              <w:t>תקשורת</w:t>
            </w:r>
            <w:r w:rsidRPr="00806127">
              <w:rPr>
                <w:rFonts w:hint="cs"/>
                <w:sz w:val="26"/>
                <w:rtl/>
              </w:rPr>
              <w:t xml:space="preserve"> אחר.</w:t>
            </w:r>
          </w:p>
        </w:tc>
      </w:tr>
      <w:tr w:rsidRPr="00C34DE2" w:rsidR="002206F8" w:rsidTr="009974B9" w14:paraId="2523B377" w14:textId="77777777">
        <w:trPr>
          <w:cantSplit/>
        </w:trPr>
        <w:tc>
          <w:tcPr>
            <w:tcW w:w="1871" w:type="dxa"/>
          </w:tcPr>
          <w:p w:rsidR="002206F8" w:rsidP="009974B9" w:rsidRDefault="002206F8" w14:paraId="389B7370" w14:textId="77777777">
            <w:pPr>
              <w:pStyle w:val="TableSideHeading"/>
            </w:pPr>
          </w:p>
        </w:tc>
        <w:tc>
          <w:tcPr>
            <w:tcW w:w="624" w:type="dxa"/>
          </w:tcPr>
          <w:p w:rsidR="002206F8" w:rsidP="009974B9" w:rsidRDefault="002206F8" w14:paraId="3EA86661" w14:textId="77777777">
            <w:pPr>
              <w:pStyle w:val="TableText"/>
            </w:pPr>
          </w:p>
        </w:tc>
        <w:tc>
          <w:tcPr>
            <w:tcW w:w="7143" w:type="dxa"/>
            <w:gridSpan w:val="2"/>
          </w:tcPr>
          <w:p w:rsidRPr="00C34DE2" w:rsidR="002206F8" w:rsidP="009974B9" w:rsidRDefault="002206F8" w14:paraId="5D6C7725" w14:textId="77777777">
            <w:pPr>
              <w:pStyle w:val="TableBlock"/>
            </w:pPr>
            <w:r>
              <w:rPr>
                <w:rFonts w:hint="cs"/>
                <w:rtl/>
              </w:rPr>
              <w:t>(ג)</w:t>
            </w:r>
            <w:r>
              <w:rPr>
                <w:rtl/>
              </w:rPr>
              <w:tab/>
            </w:r>
            <w:r w:rsidRPr="00806127">
              <w:rPr>
                <w:sz w:val="26"/>
                <w:rtl/>
              </w:rPr>
              <w:t>ה</w:t>
            </w:r>
            <w:r w:rsidRPr="00806127">
              <w:rPr>
                <w:rFonts w:hint="cs"/>
                <w:sz w:val="26"/>
                <w:rtl/>
              </w:rPr>
              <w:t xml:space="preserve">יתר </w:t>
            </w:r>
            <w:r>
              <w:rPr>
                <w:rFonts w:hint="cs"/>
                <w:sz w:val="26"/>
                <w:rtl/>
              </w:rPr>
              <w:t>כאמור בסעיף קטן (ב)</w:t>
            </w:r>
            <w:r w:rsidRPr="00806127">
              <w:rPr>
                <w:rFonts w:hint="cs"/>
                <w:sz w:val="26"/>
                <w:rtl/>
              </w:rPr>
              <w:t xml:space="preserve"> יכול שיהא כללי או </w:t>
            </w:r>
            <w:r>
              <w:rPr>
                <w:rFonts w:hint="cs"/>
                <w:sz w:val="26"/>
                <w:rtl/>
              </w:rPr>
              <w:t>לעניין מסוים</w:t>
            </w:r>
            <w:r w:rsidRPr="00806127">
              <w:rPr>
                <w:rFonts w:hint="cs"/>
                <w:sz w:val="26"/>
                <w:rtl/>
              </w:rPr>
              <w:t xml:space="preserve"> ויכול ש</w:t>
            </w:r>
            <w:r w:rsidRPr="00806127">
              <w:rPr>
                <w:sz w:val="26"/>
                <w:rtl/>
              </w:rPr>
              <w:t>י</w:t>
            </w:r>
            <w:r>
              <w:rPr>
                <w:rFonts w:hint="cs"/>
                <w:sz w:val="26"/>
                <w:rtl/>
              </w:rPr>
              <w:t xml:space="preserve">כללו </w:t>
            </w:r>
            <w:r w:rsidRPr="00806127">
              <w:rPr>
                <w:rFonts w:hint="cs"/>
                <w:sz w:val="26"/>
                <w:rtl/>
              </w:rPr>
              <w:t>בו תנאים.</w:t>
            </w:r>
          </w:p>
        </w:tc>
      </w:tr>
      <w:tr w:rsidR="002206F8" w:rsidTr="009974B9" w14:paraId="55BE7FF1" w14:textId="77777777">
        <w:trPr>
          <w:cantSplit/>
        </w:trPr>
        <w:tc>
          <w:tcPr>
            <w:tcW w:w="1871" w:type="dxa"/>
          </w:tcPr>
          <w:p w:rsidR="002206F8" w:rsidP="009974B9" w:rsidRDefault="002206F8" w14:paraId="65A89AB8" w14:textId="77777777">
            <w:pPr>
              <w:pStyle w:val="TableSideHeading"/>
              <w:rPr>
                <w:rtl/>
              </w:rPr>
            </w:pPr>
            <w:r>
              <w:rPr>
                <w:rFonts w:hint="cs"/>
                <w:rtl/>
              </w:rPr>
              <w:t>סמכות לקבוע הוראות</w:t>
            </w:r>
          </w:p>
        </w:tc>
        <w:tc>
          <w:tcPr>
            <w:tcW w:w="624" w:type="dxa"/>
          </w:tcPr>
          <w:p w:rsidR="002206F8" w:rsidP="009974B9" w:rsidRDefault="002206F8" w14:paraId="1044716B" w14:textId="77777777">
            <w:pPr>
              <w:pStyle w:val="TableText"/>
            </w:pPr>
            <w:r>
              <w:rPr>
                <w:rFonts w:hint="cs"/>
                <w:rtl/>
              </w:rPr>
              <w:t>7.</w:t>
            </w:r>
          </w:p>
        </w:tc>
        <w:tc>
          <w:tcPr>
            <w:tcW w:w="7143" w:type="dxa"/>
            <w:gridSpan w:val="2"/>
          </w:tcPr>
          <w:p w:rsidR="002206F8" w:rsidP="009974B9" w:rsidRDefault="002206F8" w14:paraId="2CBFD0EB" w14:textId="77777777">
            <w:pPr>
              <w:pStyle w:val="TableBlock"/>
              <w:rPr>
                <w:rtl/>
              </w:rPr>
            </w:pPr>
            <w:r>
              <w:rPr>
                <w:rFonts w:hint="cs"/>
                <w:rtl/>
              </w:rPr>
              <w:t>(א)</w:t>
            </w:r>
            <w:r>
              <w:rPr>
                <w:rtl/>
              </w:rPr>
              <w:tab/>
            </w:r>
            <w:r w:rsidRPr="00806127">
              <w:rPr>
                <w:sz w:val="26"/>
                <w:rtl/>
              </w:rPr>
              <w:t>ה</w:t>
            </w:r>
            <w:r w:rsidRPr="00806127">
              <w:rPr>
                <w:rFonts w:hint="cs"/>
                <w:sz w:val="26"/>
                <w:rtl/>
              </w:rPr>
              <w:t xml:space="preserve">ממונה רשאי, </w:t>
            </w:r>
            <w:r>
              <w:rPr>
                <w:rFonts w:hint="cs"/>
                <w:sz w:val="26"/>
                <w:rtl/>
              </w:rPr>
              <w:t>לאחר התייעצות עם ה</w:t>
            </w:r>
            <w:r w:rsidRPr="00806127">
              <w:rPr>
                <w:rFonts w:hint="cs"/>
                <w:sz w:val="26"/>
                <w:rtl/>
              </w:rPr>
              <w:t xml:space="preserve">שר </w:t>
            </w:r>
            <w:r>
              <w:rPr>
                <w:rFonts w:hint="cs"/>
                <w:sz w:val="26"/>
                <w:rtl/>
              </w:rPr>
              <w:t xml:space="preserve">ועם </w:t>
            </w:r>
            <w:r w:rsidRPr="00806127">
              <w:rPr>
                <w:rFonts w:hint="cs"/>
                <w:sz w:val="26"/>
                <w:rtl/>
              </w:rPr>
              <w:t xml:space="preserve">הרבנים הראשיים לישראל, </w:t>
            </w:r>
            <w:r>
              <w:rPr>
                <w:rFonts w:hint="cs"/>
                <w:sz w:val="26"/>
                <w:rtl/>
              </w:rPr>
              <w:t>לקבוע</w:t>
            </w:r>
            <w:r w:rsidRPr="00806127">
              <w:rPr>
                <w:rFonts w:hint="cs"/>
                <w:sz w:val="26"/>
                <w:rtl/>
              </w:rPr>
              <w:t xml:space="preserve"> הוראות ל</w:t>
            </w:r>
            <w:r>
              <w:rPr>
                <w:rFonts w:hint="cs"/>
                <w:sz w:val="26"/>
                <w:rtl/>
              </w:rPr>
              <w:t xml:space="preserve">שם </w:t>
            </w:r>
            <w:r w:rsidRPr="00806127">
              <w:rPr>
                <w:rFonts w:hint="cs"/>
                <w:sz w:val="26"/>
                <w:rtl/>
              </w:rPr>
              <w:t>קיו</w:t>
            </w:r>
            <w:r>
              <w:rPr>
                <w:rFonts w:hint="cs"/>
                <w:sz w:val="26"/>
                <w:rtl/>
              </w:rPr>
              <w:t>מ</w:t>
            </w:r>
            <w:r w:rsidRPr="00806127">
              <w:rPr>
                <w:rFonts w:hint="cs"/>
                <w:sz w:val="26"/>
                <w:rtl/>
              </w:rPr>
              <w:t>ם</w:t>
            </w:r>
            <w:r>
              <w:rPr>
                <w:rFonts w:hint="cs"/>
                <w:sz w:val="26"/>
                <w:rtl/>
              </w:rPr>
              <w:t xml:space="preserve"> היעיל של</w:t>
            </w:r>
            <w:r w:rsidRPr="00806127">
              <w:rPr>
                <w:rFonts w:hint="cs"/>
                <w:sz w:val="26"/>
                <w:rtl/>
              </w:rPr>
              <w:t xml:space="preserve"> </w:t>
            </w:r>
            <w:r>
              <w:rPr>
                <w:rFonts w:hint="cs"/>
                <w:sz w:val="26"/>
                <w:rtl/>
              </w:rPr>
              <w:t>הוראות חוק זה</w:t>
            </w:r>
            <w:r w:rsidRPr="00806127">
              <w:rPr>
                <w:rFonts w:hint="cs"/>
                <w:sz w:val="26"/>
                <w:rtl/>
              </w:rPr>
              <w:t>.</w:t>
            </w:r>
          </w:p>
        </w:tc>
      </w:tr>
      <w:tr w:rsidR="002206F8" w:rsidTr="009974B9" w14:paraId="269D1DF4" w14:textId="77777777">
        <w:trPr>
          <w:cantSplit/>
        </w:trPr>
        <w:tc>
          <w:tcPr>
            <w:tcW w:w="1871" w:type="dxa"/>
          </w:tcPr>
          <w:p w:rsidR="002206F8" w:rsidP="009974B9" w:rsidRDefault="002206F8" w14:paraId="083F1FB7" w14:textId="77777777">
            <w:pPr>
              <w:pStyle w:val="TableSideHeading"/>
              <w:rPr>
                <w:rtl/>
              </w:rPr>
            </w:pPr>
          </w:p>
        </w:tc>
        <w:tc>
          <w:tcPr>
            <w:tcW w:w="624" w:type="dxa"/>
          </w:tcPr>
          <w:p w:rsidR="002206F8" w:rsidP="009974B9" w:rsidRDefault="002206F8" w14:paraId="78B056D1" w14:textId="77777777">
            <w:pPr>
              <w:pStyle w:val="TableText"/>
              <w:rPr>
                <w:rtl/>
              </w:rPr>
            </w:pPr>
          </w:p>
        </w:tc>
        <w:tc>
          <w:tcPr>
            <w:tcW w:w="7143" w:type="dxa"/>
            <w:gridSpan w:val="2"/>
          </w:tcPr>
          <w:p w:rsidR="002206F8" w:rsidP="009974B9" w:rsidRDefault="002206F8" w14:paraId="1FFF77A1" w14:textId="77777777">
            <w:pPr>
              <w:pStyle w:val="TableBlock"/>
              <w:rPr>
                <w:rtl/>
              </w:rPr>
            </w:pPr>
            <w:r>
              <w:rPr>
                <w:rFonts w:hint="cs"/>
                <w:rtl/>
              </w:rPr>
              <w:t>(ב)</w:t>
            </w:r>
            <w:r>
              <w:rPr>
                <w:rtl/>
              </w:rPr>
              <w:tab/>
            </w:r>
            <w:r w:rsidRPr="006171AE">
              <w:rPr>
                <w:rFonts w:hint="cs"/>
                <w:sz w:val="26"/>
                <w:rtl/>
              </w:rPr>
              <w:t>אדם הנמצא בתחו</w:t>
            </w:r>
            <w:r>
              <w:rPr>
                <w:rFonts w:hint="cs"/>
                <w:sz w:val="26"/>
                <w:rtl/>
              </w:rPr>
              <w:t>ם הכותל המערבי</w:t>
            </w:r>
            <w:r w:rsidRPr="006171AE">
              <w:rPr>
                <w:rFonts w:hint="cs"/>
                <w:sz w:val="26"/>
                <w:rtl/>
              </w:rPr>
              <w:t xml:space="preserve"> חייב לציית </w:t>
            </w:r>
            <w:r>
              <w:rPr>
                <w:rFonts w:hint="cs"/>
                <w:sz w:val="26"/>
                <w:rtl/>
              </w:rPr>
              <w:t>לכל הוראה שנתן הממונה כדין</w:t>
            </w:r>
            <w:r w:rsidRPr="006171AE">
              <w:rPr>
                <w:rFonts w:hint="cs"/>
                <w:sz w:val="26"/>
                <w:rtl/>
              </w:rPr>
              <w:t>.</w:t>
            </w:r>
          </w:p>
        </w:tc>
      </w:tr>
      <w:tr w:rsidR="002206F8" w:rsidTr="009974B9" w14:paraId="079E0906" w14:textId="77777777">
        <w:trPr>
          <w:cantSplit/>
        </w:trPr>
        <w:tc>
          <w:tcPr>
            <w:tcW w:w="1871" w:type="dxa"/>
          </w:tcPr>
          <w:p w:rsidR="002206F8" w:rsidP="009974B9" w:rsidRDefault="002206F8" w14:paraId="7492D189" w14:textId="77777777">
            <w:pPr>
              <w:pStyle w:val="TableSideHeading"/>
              <w:rPr>
                <w:rtl/>
              </w:rPr>
            </w:pPr>
            <w:r>
              <w:rPr>
                <w:rFonts w:hint="cs"/>
                <w:rtl/>
              </w:rPr>
              <w:t>סמכות להרחיק אדם</w:t>
            </w:r>
          </w:p>
        </w:tc>
        <w:tc>
          <w:tcPr>
            <w:tcW w:w="624" w:type="dxa"/>
          </w:tcPr>
          <w:p w:rsidR="002206F8" w:rsidP="009974B9" w:rsidRDefault="002206F8" w14:paraId="3F7D61F1" w14:textId="77777777">
            <w:pPr>
              <w:pStyle w:val="TableText"/>
              <w:rPr>
                <w:rtl/>
              </w:rPr>
            </w:pPr>
            <w:r>
              <w:rPr>
                <w:rFonts w:hint="cs"/>
                <w:rtl/>
              </w:rPr>
              <w:t>8.</w:t>
            </w:r>
          </w:p>
        </w:tc>
        <w:tc>
          <w:tcPr>
            <w:tcW w:w="7143" w:type="dxa"/>
            <w:gridSpan w:val="2"/>
          </w:tcPr>
          <w:p w:rsidR="002206F8" w:rsidP="009974B9" w:rsidRDefault="002206F8" w14:paraId="4823270D" w14:textId="77777777">
            <w:pPr>
              <w:pStyle w:val="TableBlock"/>
              <w:rPr>
                <w:rtl/>
              </w:rPr>
            </w:pPr>
            <w:r w:rsidRPr="006171AE">
              <w:rPr>
                <w:sz w:val="26"/>
                <w:rtl/>
              </w:rPr>
              <w:t>ה</w:t>
            </w:r>
            <w:r w:rsidRPr="006171AE">
              <w:rPr>
                <w:rFonts w:hint="cs"/>
                <w:sz w:val="26"/>
                <w:rtl/>
              </w:rPr>
              <w:t xml:space="preserve">ממונה רשאי להרחיק </w:t>
            </w:r>
            <w:r>
              <w:rPr>
                <w:rFonts w:hint="cs"/>
                <w:sz w:val="26"/>
                <w:rtl/>
              </w:rPr>
              <w:t xml:space="preserve">כל </w:t>
            </w:r>
            <w:r w:rsidRPr="006171AE">
              <w:rPr>
                <w:rFonts w:hint="cs"/>
                <w:sz w:val="26"/>
                <w:rtl/>
              </w:rPr>
              <w:t xml:space="preserve">אדם </w:t>
            </w:r>
            <w:r>
              <w:rPr>
                <w:rFonts w:hint="cs"/>
                <w:sz w:val="26"/>
                <w:rtl/>
              </w:rPr>
              <w:t xml:space="preserve">מהכותל המערבי, </w:t>
            </w:r>
            <w:r w:rsidRPr="006171AE">
              <w:rPr>
                <w:rFonts w:hint="cs"/>
                <w:sz w:val="26"/>
                <w:rtl/>
              </w:rPr>
              <w:t>ה</w:t>
            </w:r>
            <w:r w:rsidRPr="006171AE">
              <w:rPr>
                <w:sz w:val="26"/>
                <w:rtl/>
              </w:rPr>
              <w:t>מפ</w:t>
            </w:r>
            <w:r w:rsidRPr="006171AE">
              <w:rPr>
                <w:rFonts w:hint="cs"/>
                <w:sz w:val="26"/>
                <w:rtl/>
              </w:rPr>
              <w:t xml:space="preserve">ריע לו במילוי </w:t>
            </w:r>
            <w:r>
              <w:rPr>
                <w:rFonts w:hint="cs"/>
                <w:sz w:val="26"/>
                <w:rtl/>
              </w:rPr>
              <w:t>סמכויותיו לפי חוק זה</w:t>
            </w:r>
            <w:r w:rsidRPr="006171AE">
              <w:rPr>
                <w:rFonts w:hint="cs"/>
                <w:sz w:val="26"/>
                <w:rtl/>
              </w:rPr>
              <w:t xml:space="preserve"> או העובר על הוראה מהוראות </w:t>
            </w:r>
            <w:r>
              <w:rPr>
                <w:rFonts w:hint="cs"/>
                <w:sz w:val="26"/>
                <w:rtl/>
              </w:rPr>
              <w:t>חוק זה</w:t>
            </w:r>
            <w:r w:rsidRPr="006171AE">
              <w:rPr>
                <w:rFonts w:hint="cs"/>
                <w:sz w:val="26"/>
                <w:rtl/>
              </w:rPr>
              <w:t>.</w:t>
            </w:r>
          </w:p>
        </w:tc>
      </w:tr>
      <w:tr w:rsidR="002206F8" w:rsidTr="009974B9" w14:paraId="294A603D" w14:textId="77777777">
        <w:trPr>
          <w:cantSplit/>
        </w:trPr>
        <w:tc>
          <w:tcPr>
            <w:tcW w:w="1871" w:type="dxa"/>
          </w:tcPr>
          <w:p w:rsidR="002206F8" w:rsidP="009974B9" w:rsidRDefault="002206F8" w14:paraId="54CCE2DA" w14:textId="77777777">
            <w:pPr>
              <w:pStyle w:val="TableSideHeading"/>
              <w:rPr>
                <w:rtl/>
              </w:rPr>
            </w:pPr>
            <w:r>
              <w:rPr>
                <w:rFonts w:hint="cs"/>
                <w:rtl/>
              </w:rPr>
              <w:t>עונשין</w:t>
            </w:r>
          </w:p>
        </w:tc>
        <w:tc>
          <w:tcPr>
            <w:tcW w:w="624" w:type="dxa"/>
          </w:tcPr>
          <w:p w:rsidR="002206F8" w:rsidP="009974B9" w:rsidRDefault="002206F8" w14:paraId="53279D76" w14:textId="77777777">
            <w:pPr>
              <w:pStyle w:val="TableText"/>
              <w:rPr>
                <w:rtl/>
              </w:rPr>
            </w:pPr>
            <w:r>
              <w:rPr>
                <w:rFonts w:hint="cs"/>
                <w:rtl/>
              </w:rPr>
              <w:t>9.</w:t>
            </w:r>
          </w:p>
        </w:tc>
        <w:tc>
          <w:tcPr>
            <w:tcW w:w="7143" w:type="dxa"/>
            <w:gridSpan w:val="2"/>
          </w:tcPr>
          <w:p w:rsidR="002206F8" w:rsidP="009974B9" w:rsidRDefault="002206F8" w14:paraId="31D090A9" w14:textId="13BA597E">
            <w:pPr>
              <w:pStyle w:val="TableBlock"/>
              <w:rPr>
                <w:rtl/>
              </w:rPr>
            </w:pPr>
            <w:r w:rsidRPr="00806127">
              <w:rPr>
                <w:sz w:val="26"/>
                <w:rtl/>
              </w:rPr>
              <w:t>הע</w:t>
            </w:r>
            <w:r w:rsidRPr="00806127">
              <w:rPr>
                <w:rFonts w:hint="cs"/>
                <w:sz w:val="26"/>
                <w:rtl/>
              </w:rPr>
              <w:t>ובר על הוראה מהוראות סעיפים 3</w:t>
            </w:r>
            <w:r>
              <w:rPr>
                <w:rFonts w:hint="cs"/>
                <w:sz w:val="26"/>
                <w:rtl/>
              </w:rPr>
              <w:t>, 5 ו</w:t>
            </w:r>
            <w:r w:rsidR="009B1959">
              <w:rPr>
                <w:rFonts w:hint="cs"/>
                <w:sz w:val="26"/>
                <w:rtl/>
              </w:rPr>
              <w:t>–</w:t>
            </w:r>
            <w:r>
              <w:rPr>
                <w:rFonts w:hint="cs"/>
                <w:sz w:val="26"/>
                <w:rtl/>
              </w:rPr>
              <w:t>6,</w:t>
            </w:r>
            <w:r w:rsidRPr="00806127">
              <w:rPr>
                <w:rFonts w:hint="cs"/>
                <w:sz w:val="26"/>
                <w:rtl/>
              </w:rPr>
              <w:t xml:space="preserve"> דינו </w:t>
            </w:r>
            <w:r>
              <w:rPr>
                <w:rFonts w:hint="eastAsia"/>
                <w:sz w:val="26"/>
                <w:rtl/>
              </w:rPr>
              <w:t>–</w:t>
            </w:r>
            <w:r>
              <w:rPr>
                <w:rFonts w:hint="cs"/>
                <w:sz w:val="26"/>
              </w:rPr>
              <w:t xml:space="preserve"> </w:t>
            </w:r>
            <w:r w:rsidRPr="00806127">
              <w:rPr>
                <w:rFonts w:hint="cs"/>
                <w:sz w:val="26"/>
                <w:rtl/>
              </w:rPr>
              <w:t>מאסר ש</w:t>
            </w:r>
            <w:r>
              <w:rPr>
                <w:rFonts w:hint="cs"/>
                <w:sz w:val="26"/>
                <w:rtl/>
              </w:rPr>
              <w:t>י</w:t>
            </w:r>
            <w:r w:rsidRPr="00806127">
              <w:rPr>
                <w:rFonts w:hint="cs"/>
                <w:sz w:val="26"/>
                <w:rtl/>
              </w:rPr>
              <w:t>שה חדשים או קנס 10,000 שקלים.</w:t>
            </w:r>
          </w:p>
        </w:tc>
      </w:tr>
      <w:tr w:rsidR="002206F8" w:rsidTr="009974B9" w14:paraId="2EE21CE2" w14:textId="77777777">
        <w:trPr>
          <w:cantSplit/>
        </w:trPr>
        <w:tc>
          <w:tcPr>
            <w:tcW w:w="1871" w:type="dxa"/>
          </w:tcPr>
          <w:p w:rsidR="002206F8" w:rsidP="009974B9" w:rsidRDefault="002206F8" w14:paraId="255ACA85" w14:textId="77777777">
            <w:pPr>
              <w:pStyle w:val="TableSideHeading"/>
              <w:rPr>
                <w:rtl/>
              </w:rPr>
            </w:pPr>
            <w:r>
              <w:rPr>
                <w:rFonts w:hint="cs"/>
                <w:rtl/>
              </w:rPr>
              <w:t>שמירת דינים</w:t>
            </w:r>
          </w:p>
        </w:tc>
        <w:tc>
          <w:tcPr>
            <w:tcW w:w="624" w:type="dxa"/>
          </w:tcPr>
          <w:p w:rsidR="002206F8" w:rsidP="009974B9" w:rsidRDefault="002206F8" w14:paraId="2718194C" w14:textId="77777777">
            <w:pPr>
              <w:pStyle w:val="TableText"/>
              <w:rPr>
                <w:rtl/>
              </w:rPr>
            </w:pPr>
            <w:r>
              <w:rPr>
                <w:rFonts w:hint="cs"/>
                <w:rtl/>
              </w:rPr>
              <w:t>10.</w:t>
            </w:r>
          </w:p>
        </w:tc>
        <w:tc>
          <w:tcPr>
            <w:tcW w:w="7143" w:type="dxa"/>
            <w:gridSpan w:val="2"/>
          </w:tcPr>
          <w:p w:rsidR="002206F8" w:rsidP="009974B9" w:rsidRDefault="002206F8" w14:paraId="628F4F4D" w14:textId="77777777">
            <w:pPr>
              <w:pStyle w:val="TableBlock"/>
              <w:rPr>
                <w:sz w:val="26"/>
                <w:rtl/>
              </w:rPr>
            </w:pPr>
            <w:r w:rsidRPr="00265E49">
              <w:rPr>
                <w:rFonts w:hint="cs"/>
                <w:rtl/>
              </w:rPr>
              <w:t>אין בחוק זה כדי לפגוע בהוראות דבר המלך במועצה על ארץ ישראל (המקומות הקדושים), 1924.</w:t>
            </w:r>
          </w:p>
        </w:tc>
      </w:tr>
      <w:tr w:rsidRPr="00806127" w:rsidR="002206F8" w:rsidTr="009974B9" w14:paraId="38FAC366" w14:textId="77777777">
        <w:trPr>
          <w:cantSplit/>
        </w:trPr>
        <w:tc>
          <w:tcPr>
            <w:tcW w:w="1871" w:type="dxa"/>
          </w:tcPr>
          <w:p w:rsidR="002206F8" w:rsidP="009974B9" w:rsidRDefault="002206F8" w14:paraId="337AD0C3" w14:textId="77777777">
            <w:pPr>
              <w:pStyle w:val="TableSideHeading"/>
              <w:rPr>
                <w:rtl/>
              </w:rPr>
            </w:pPr>
            <w:r>
              <w:rPr>
                <w:rFonts w:hint="cs"/>
                <w:rtl/>
              </w:rPr>
              <w:t>ביצוע ותקנות</w:t>
            </w:r>
          </w:p>
        </w:tc>
        <w:tc>
          <w:tcPr>
            <w:tcW w:w="624" w:type="dxa"/>
          </w:tcPr>
          <w:p w:rsidR="002206F8" w:rsidP="009974B9" w:rsidRDefault="002206F8" w14:paraId="09A78755" w14:textId="77777777">
            <w:pPr>
              <w:pStyle w:val="TableText"/>
              <w:rPr>
                <w:rtl/>
              </w:rPr>
            </w:pPr>
            <w:r>
              <w:rPr>
                <w:rFonts w:hint="cs"/>
                <w:rtl/>
              </w:rPr>
              <w:t>11.</w:t>
            </w:r>
          </w:p>
        </w:tc>
        <w:tc>
          <w:tcPr>
            <w:tcW w:w="7143" w:type="dxa"/>
            <w:gridSpan w:val="2"/>
          </w:tcPr>
          <w:p w:rsidRPr="00806127" w:rsidR="002206F8" w:rsidP="009974B9" w:rsidRDefault="002206F8" w14:paraId="7AFF8E15" w14:textId="77777777">
            <w:pPr>
              <w:pStyle w:val="TableBlock"/>
              <w:rPr>
                <w:sz w:val="26"/>
                <w:rtl/>
              </w:rPr>
            </w:pPr>
            <w:r w:rsidRPr="00806127">
              <w:rPr>
                <w:rFonts w:hint="cs"/>
                <w:sz w:val="26"/>
                <w:rtl/>
              </w:rPr>
              <w:t>השר ממונה על ביצוע חוק זה והוא רשאי להתקין תקנות בכל ענין הנוגע לביצועו.</w:t>
            </w:r>
          </w:p>
        </w:tc>
      </w:tr>
      <w:tr w:rsidRPr="00C34DE2" w:rsidR="002206F8" w:rsidTr="009974B9" w14:paraId="012F52F1" w14:textId="77777777">
        <w:trPr>
          <w:cantSplit/>
        </w:trPr>
        <w:tc>
          <w:tcPr>
            <w:tcW w:w="1871" w:type="dxa"/>
          </w:tcPr>
          <w:p w:rsidR="002206F8" w:rsidP="009974B9" w:rsidRDefault="002206F8" w14:paraId="0726FEFE" w14:textId="77777777">
            <w:pPr>
              <w:pStyle w:val="TableSideHeading"/>
            </w:pPr>
          </w:p>
        </w:tc>
        <w:tc>
          <w:tcPr>
            <w:tcW w:w="624" w:type="dxa"/>
          </w:tcPr>
          <w:p w:rsidR="002206F8" w:rsidP="009974B9" w:rsidRDefault="002206F8" w14:paraId="7E110F11" w14:textId="77777777">
            <w:pPr>
              <w:pStyle w:val="TableText"/>
            </w:pPr>
          </w:p>
        </w:tc>
        <w:tc>
          <w:tcPr>
            <w:tcW w:w="7143" w:type="dxa"/>
            <w:gridSpan w:val="2"/>
          </w:tcPr>
          <w:p w:rsidRPr="00C34DE2" w:rsidR="002206F8" w:rsidP="009974B9" w:rsidRDefault="002206F8" w14:paraId="6F7BF33D" w14:textId="77777777">
            <w:pPr>
              <w:pStyle w:val="TableHead"/>
            </w:pPr>
            <w:r>
              <w:rPr>
                <w:rFonts w:hint="cs"/>
                <w:rtl/>
              </w:rPr>
              <w:t>תוספת</w:t>
            </w:r>
          </w:p>
        </w:tc>
      </w:tr>
    </w:tbl>
    <w:p w:rsidRPr="00F67051" w:rsidR="002206F8" w:rsidP="002206F8" w:rsidRDefault="002206F8" w14:paraId="1FB1D664" w14:textId="1290AAB9">
      <w:pPr>
        <w:pStyle w:val="HeadHatzaotHok"/>
        <w:jc w:val="both"/>
        <w:rPr>
          <w:rtl/>
        </w:rPr>
      </w:pPr>
      <w:r>
        <w:rPr>
          <w:rFonts w:hint="cs"/>
          <w:noProof/>
          <w:snapToGrid/>
          <w:rtl/>
          <w:lang w:eastAsia="en-US"/>
        </w:rPr>
        <w:drawing>
          <wp:inline distT="0" distB="0" distL="0" distR="0" wp14:anchorId="52F23846" wp14:editId="3165B0B2">
            <wp:extent cx="4498975" cy="3207791"/>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4498975" cy="3207791"/>
                    </a:xfrm>
                    <a:prstGeom prst="rect">
                      <a:avLst/>
                    </a:prstGeom>
                  </pic:spPr>
                </pic:pic>
              </a:graphicData>
            </a:graphic>
          </wp:inline>
        </w:drawing>
      </w:r>
    </w:p>
    <w:p w:rsidR="00052F15" w:rsidP="002D1EE3" w:rsidRDefault="00052F15" w14:paraId="302295AE" w14:textId="3CF3611F">
      <w:pPr>
        <w:pStyle w:val="HeadDivreiHesber"/>
        <w:rPr>
          <w:rtl/>
        </w:rPr>
      </w:pPr>
      <w:r>
        <w:rPr>
          <w:rtl/>
        </w:rPr>
        <w:br w:type="page"/>
      </w:r>
    </w:p>
    <w:p w:rsidR="002D1EE3" w:rsidP="002D1EE3" w:rsidRDefault="002D1EE3" w14:paraId="7F6961CA" w14:textId="77777777">
      <w:pPr>
        <w:pStyle w:val="HeadDivreiHesber"/>
        <w:rPr>
          <w:rtl/>
        </w:rPr>
      </w:pPr>
      <w:r w:rsidRPr="0027450A">
        <w:rPr>
          <w:rFonts w:hint="cs"/>
          <w:rtl/>
        </w:rPr>
        <w:lastRenderedPageBreak/>
        <w:t>דברי הסבר</w:t>
      </w:r>
    </w:p>
    <w:p w:rsidRPr="00950A29" w:rsidR="002206F8" w:rsidP="00052F15" w:rsidRDefault="002206F8" w14:paraId="7743514E" w14:textId="26CA02B7">
      <w:pPr>
        <w:pStyle w:val="Hesber"/>
        <w:rPr>
          <w:rtl/>
        </w:rPr>
      </w:pPr>
      <w:r w:rsidRPr="00950A29">
        <w:rPr>
          <w:rFonts w:hint="cs"/>
          <w:rtl/>
        </w:rPr>
        <w:t xml:space="preserve">עד היום, נושא </w:t>
      </w:r>
      <w:r w:rsidRPr="00052F15">
        <w:rPr>
          <w:rFonts w:hint="cs"/>
          <w:rtl/>
        </w:rPr>
        <w:t>השמירה</w:t>
      </w:r>
      <w:r w:rsidRPr="00950A29">
        <w:rPr>
          <w:rFonts w:hint="cs"/>
          <w:rtl/>
        </w:rPr>
        <w:t xml:space="preserve"> על המקומות הקדושים הוסדר בתקנות השמירה על מקומות קדושים ליהודים, התשמ"א</w:t>
      </w:r>
      <w:r w:rsidRPr="00950A29">
        <w:rPr>
          <w:rFonts w:hint="eastAsia"/>
          <w:rtl/>
        </w:rPr>
        <w:t>–</w:t>
      </w:r>
      <w:r w:rsidRPr="00950A29">
        <w:rPr>
          <w:rFonts w:hint="cs"/>
          <w:rtl/>
        </w:rPr>
        <w:t>1981. כ</w:t>
      </w:r>
      <w:r w:rsidR="00052F15">
        <w:rPr>
          <w:rFonts w:hint="cs"/>
          <w:rtl/>
        </w:rPr>
        <w:t>-</w:t>
      </w:r>
      <w:r w:rsidRPr="00950A29">
        <w:rPr>
          <w:rFonts w:hint="cs"/>
          <w:rtl/>
        </w:rPr>
        <w:t>50 שנים מאז שוחרר הכותל המערבי, טרם הוסדרו מעמדו ושמירת קדושתו של הכותל המערבי, בחוק מיוחד החל על הכותל. דבר זה גורם מפעם לפעם לפגיעה בערכים המקודשים של עם ישראל. לפיכך מוצע לקבוע בחוק הוראות שיסדירו הן שמירת סדרי התפילה ברחבת התפילה של הכותל המערבי וכן את שמירת מעמדה וקדושתה של רחבת הכותל כולה.</w:t>
      </w:r>
    </w:p>
    <w:p w:rsidR="00052F15" w:rsidP="00950A29" w:rsidRDefault="002206F8" w14:paraId="0889CB25" w14:textId="77777777">
      <w:pPr>
        <w:pStyle w:val="Hesber"/>
        <w:rPr>
          <w:rtl/>
        </w:rPr>
      </w:pPr>
      <w:r w:rsidRPr="00950A29">
        <w:rPr>
          <w:rFonts w:hint="cs"/>
          <w:rtl/>
        </w:rPr>
        <w:t>הצעת חוק זהה הונחה על שולחן הכנסת העשרים וארבע על ידי חבר הכנסת מיכאל מלכיאלי (פ/339/24)</w:t>
      </w:r>
      <w:r w:rsidR="00052F15">
        <w:rPr>
          <w:rFonts w:hint="cs"/>
          <w:rtl/>
        </w:rPr>
        <w:t>.</w:t>
      </w:r>
    </w:p>
    <w:p w:rsidR="002206F8" w:rsidP="00052F15" w:rsidRDefault="00052F15" w14:paraId="6C930868" w14:textId="5D966E7A">
      <w:pPr>
        <w:pStyle w:val="Hesber"/>
        <w:rPr>
          <w:rtl/>
        </w:rPr>
      </w:pPr>
      <w:r>
        <w:rPr>
          <w:rFonts w:hint="cs"/>
          <w:rtl/>
        </w:rPr>
        <w:t>הצעת החוק זהה ל</w:t>
      </w:r>
      <w:r w:rsidRPr="00950A29">
        <w:rPr>
          <w:rFonts w:hint="cs"/>
          <w:rtl/>
        </w:rPr>
        <w:t>פ/339/24</w:t>
      </w:r>
      <w:r w:rsidR="00950A29">
        <w:rPr>
          <w:rFonts w:hint="cs"/>
          <w:rtl/>
        </w:rPr>
        <w:t xml:space="preserve"> ו</w:t>
      </w:r>
      <w:r>
        <w:rPr>
          <w:rFonts w:hint="cs"/>
          <w:rtl/>
        </w:rPr>
        <w:t>לפיכך</w:t>
      </w:r>
      <w:r w:rsidR="00950A29">
        <w:rPr>
          <w:rFonts w:hint="cs"/>
          <w:rtl/>
        </w:rPr>
        <w:t xml:space="preserve"> לא נבדקה מחדש על ידי הלשכה המשפטית של הכנסת.</w:t>
      </w:r>
    </w:p>
    <w:p w:rsidR="00052F15" w:rsidP="00052F15" w:rsidRDefault="00052F15" w14:paraId="6F875F4F" w14:textId="77777777">
      <w:pPr>
        <w:pStyle w:val="Hesber"/>
        <w:rPr>
          <w:rtl/>
        </w:rPr>
      </w:pPr>
    </w:p>
    <w:p w:rsidRPr="00950A29" w:rsidR="00052F15" w:rsidP="00052F15" w:rsidRDefault="00052F15" w14:paraId="37604320" w14:textId="77777777">
      <w:pPr>
        <w:pStyle w:val="Hesber"/>
        <w:rPr>
          <w:rtl/>
        </w:rPr>
      </w:pPr>
      <w:bookmarkStart w:name="_GoBack" w:id="8"/>
      <w:bookmarkEnd w:id="8"/>
    </w:p>
    <w:p w:rsidR="002206F8" w:rsidP="002206F8" w:rsidRDefault="002206F8" w14:paraId="5EED251D" w14:textId="77777777">
      <w:pPr>
        <w:pStyle w:val="HeadDivreiHesber"/>
        <w:jc w:val="both"/>
        <w:rPr>
          <w:rtl/>
        </w:rPr>
      </w:pPr>
    </w:p>
    <w:p w:rsidR="00E13C27" w:rsidP="00E13C27" w:rsidRDefault="00E13C27" w14:paraId="7F6961CB" w14:textId="77777777">
      <w:pPr>
        <w:pStyle w:val="Hesber"/>
        <w:rPr>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כ"ה בכסלו התשפ"ג</w:t>
          <w:t xml:space="preserve"> (19.12.2022) </w:t>
        </w:r>
      </w:p>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20EF1" w14:textId="77777777" w:rsidR="009974B9" w:rsidRDefault="009974B9">
      <w:r>
        <w:separator/>
      </w:r>
    </w:p>
  </w:endnote>
  <w:endnote w:type="continuationSeparator" w:id="0">
    <w:p w14:paraId="4DDEB486" w14:textId="77777777" w:rsidR="009974B9" w:rsidRDefault="009974B9">
      <w:r>
        <w:continuationSeparator/>
      </w:r>
    </w:p>
  </w:endnote>
  <w:endnote w:type="continuationNotice" w:id="1">
    <w:p w14:paraId="3305572E" w14:textId="77777777" w:rsidR="009974B9" w:rsidRDefault="009974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9974B9" w:rsidRDefault="009974B9"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9974B9" w:rsidRDefault="009974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9974B9" w:rsidRDefault="009974B9"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52F15">
      <w:rPr>
        <w:rStyle w:val="aa"/>
        <w:noProof/>
        <w:rtl/>
      </w:rPr>
      <w:t>4</w:t>
    </w:r>
    <w:r>
      <w:rPr>
        <w:rStyle w:val="aa"/>
        <w:rtl/>
      </w:rPr>
      <w:fldChar w:fldCharType="end"/>
    </w:r>
  </w:p>
  <w:p w14:paraId="7F6961D8" w14:textId="77777777" w:rsidR="009974B9" w:rsidRDefault="009974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2E20" w14:textId="77777777" w:rsidR="009974B9" w:rsidRDefault="009974B9">
      <w:r>
        <w:separator/>
      </w:r>
    </w:p>
  </w:footnote>
  <w:footnote w:type="continuationSeparator" w:id="0">
    <w:p w14:paraId="4ECAD4E2" w14:textId="77777777" w:rsidR="009974B9" w:rsidRDefault="009974B9">
      <w:r>
        <w:continuationSeparator/>
      </w:r>
    </w:p>
  </w:footnote>
  <w:footnote w:type="continuationNotice" w:id="1">
    <w:p w14:paraId="33D84A0D" w14:textId="77777777" w:rsidR="009974B9" w:rsidRDefault="009974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2F15"/>
    <w:rsid w:val="00063A3E"/>
    <w:rsid w:val="00072CAC"/>
    <w:rsid w:val="0007681A"/>
    <w:rsid w:val="000A542E"/>
    <w:rsid w:val="001018A1"/>
    <w:rsid w:val="00102B6B"/>
    <w:rsid w:val="001052D4"/>
    <w:rsid w:val="0010644B"/>
    <w:rsid w:val="001207F8"/>
    <w:rsid w:val="00121924"/>
    <w:rsid w:val="001279A8"/>
    <w:rsid w:val="0014195F"/>
    <w:rsid w:val="00152609"/>
    <w:rsid w:val="00153E1B"/>
    <w:rsid w:val="001937B5"/>
    <w:rsid w:val="001A0623"/>
    <w:rsid w:val="001C23B0"/>
    <w:rsid w:val="001D7AAF"/>
    <w:rsid w:val="00203A7F"/>
    <w:rsid w:val="0021633A"/>
    <w:rsid w:val="002200A1"/>
    <w:rsid w:val="002206F8"/>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44E4"/>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0A29"/>
    <w:rsid w:val="00957589"/>
    <w:rsid w:val="00966D06"/>
    <w:rsid w:val="00982412"/>
    <w:rsid w:val="00983A8D"/>
    <w:rsid w:val="009974B9"/>
    <w:rsid w:val="009A0DB8"/>
    <w:rsid w:val="009A7257"/>
    <w:rsid w:val="009B1959"/>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89D"/>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9F90700-2F32-4A8E-A172-17943D8D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infopath/2007/PartnerControls"/>
    <ds:schemaRef ds:uri="290d5b49-c690-4c6f-bbb9-1e50dab33ee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6665765-7853-47D3-A213-96199557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4A3CB-A033-44C3-BD67-CDE9B37E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599</Words>
  <Characters>3420</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11</cp:revision>
  <cp:lastPrinted>2013-07-04T08:25:00Z</cp:lastPrinted>
  <dcterms:created xsi:type="dcterms:W3CDTF">2015-04-20T09:58:00Z</dcterms:created>
  <dcterms:modified xsi:type="dcterms:W3CDTF">2022-12-04T12:49:00Z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2196707</vt:r8>
  </property>
</Properties>
</file>