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6248" w14:textId="77777777" w:rsidR="00346EE8" w:rsidRPr="006B2743" w:rsidRDefault="00346EE8" w:rsidP="007A48B1">
      <w:pPr>
        <w:pStyle w:val="1"/>
        <w:keepNext w:val="0"/>
        <w:keepLines w:val="0"/>
        <w:rPr>
          <w:rtl/>
        </w:rPr>
      </w:pPr>
      <w:bookmarkStart w:id="0" w:name="_Toc503130993"/>
      <w:r w:rsidRPr="006B2743">
        <w:rPr>
          <w:rFonts w:hint="cs"/>
          <w:rtl/>
        </w:rPr>
        <w:t>תזכיר חוק</w:t>
      </w:r>
      <w:bookmarkEnd w:id="0"/>
      <w:r>
        <w:rPr>
          <w:rFonts w:hint="cs"/>
          <w:rtl/>
        </w:rPr>
        <w:t xml:space="preserve"> יסוד</w:t>
      </w:r>
    </w:p>
    <w:p w14:paraId="506B1263" w14:textId="77777777" w:rsidR="00346EE8" w:rsidRPr="00AF58B8" w:rsidRDefault="00346EE8" w:rsidP="007A48B1">
      <w:pPr>
        <w:rPr>
          <w:rtl/>
        </w:rPr>
      </w:pPr>
    </w:p>
    <w:p w14:paraId="36AD3C94" w14:textId="77777777" w:rsidR="00346EE8" w:rsidRPr="00164EB4" w:rsidRDefault="00346EE8" w:rsidP="00346EE8">
      <w:pPr>
        <w:pStyle w:val="4"/>
        <w:numPr>
          <w:ilvl w:val="0"/>
          <w:numId w:val="3"/>
        </w:numPr>
      </w:pPr>
      <w:r w:rsidRPr="00164EB4">
        <w:rPr>
          <w:rFonts w:hint="cs"/>
          <w:rtl/>
        </w:rPr>
        <w:t>שם החוק המוצע</w:t>
      </w:r>
    </w:p>
    <w:p w14:paraId="2EF9C0B9" w14:textId="77777777" w:rsidR="00346EE8" w:rsidRPr="007C1DC6" w:rsidRDefault="00346EE8" w:rsidP="002B00FC">
      <w:pPr>
        <w:rPr>
          <w:rtl/>
        </w:rPr>
      </w:pPr>
      <w:bookmarkStart w:id="1" w:name="_GoBack"/>
      <w:r>
        <w:rPr>
          <w:rFonts w:hint="cs"/>
          <w:rtl/>
        </w:rPr>
        <w:t xml:space="preserve">חוק-יסוד: הממשלה (תיקון </w:t>
      </w:r>
      <w:r w:rsidR="00DA0547">
        <w:rPr>
          <w:rFonts w:hint="cs"/>
          <w:rtl/>
        </w:rPr>
        <w:t>מס' ....)(</w:t>
      </w:r>
      <w:r w:rsidR="002B00FC">
        <w:rPr>
          <w:rFonts w:hint="cs"/>
          <w:rtl/>
        </w:rPr>
        <w:t xml:space="preserve">אי כשירות של נאשם להרכיב </w:t>
      </w:r>
      <w:r w:rsidR="002D706D">
        <w:rPr>
          <w:rFonts w:hint="cs"/>
          <w:rtl/>
        </w:rPr>
        <w:t>את ה</w:t>
      </w:r>
      <w:r w:rsidR="002B00FC">
        <w:rPr>
          <w:rFonts w:hint="cs"/>
          <w:rtl/>
        </w:rPr>
        <w:t>ממשלה</w:t>
      </w:r>
      <w:r>
        <w:rPr>
          <w:rFonts w:hint="cs"/>
          <w:rtl/>
        </w:rPr>
        <w:t>)</w:t>
      </w:r>
    </w:p>
    <w:bookmarkEnd w:id="1"/>
    <w:p w14:paraId="3E635392" w14:textId="77777777" w:rsidR="00346EE8" w:rsidRPr="007C1DC6" w:rsidRDefault="00346EE8" w:rsidP="007A48B1">
      <w:pPr>
        <w:rPr>
          <w:rtl/>
        </w:rPr>
      </w:pPr>
    </w:p>
    <w:p w14:paraId="0389E421" w14:textId="77777777" w:rsidR="00346EE8" w:rsidRDefault="00346EE8" w:rsidP="007A48B1"/>
    <w:p w14:paraId="5C018287" w14:textId="77777777" w:rsidR="00346EE8" w:rsidRPr="00164EB4" w:rsidRDefault="00346EE8" w:rsidP="00346EE8">
      <w:pPr>
        <w:pStyle w:val="4"/>
        <w:numPr>
          <w:ilvl w:val="0"/>
          <w:numId w:val="2"/>
        </w:numPr>
        <w:rPr>
          <w:rtl/>
        </w:rPr>
      </w:pPr>
      <w:r w:rsidRPr="00164EB4">
        <w:rPr>
          <w:rFonts w:hint="cs"/>
          <w:rtl/>
        </w:rPr>
        <w:t>מטרת החוק המוצע והצורך בו</w:t>
      </w:r>
    </w:p>
    <w:p w14:paraId="40F96C41" w14:textId="77777777" w:rsidR="00EC1611" w:rsidRDefault="00EC1611" w:rsidP="00EC1611">
      <w:pPr>
        <w:rPr>
          <w:rtl/>
        </w:rPr>
      </w:pPr>
    </w:p>
    <w:p w14:paraId="3BBAD314" w14:textId="213DBC32" w:rsidR="00BF4757" w:rsidRDefault="006445DD" w:rsidP="00634994">
      <w:pPr>
        <w:rPr>
          <w:rtl/>
        </w:rPr>
      </w:pPr>
      <w:r w:rsidRPr="00300BC4">
        <w:rPr>
          <w:rFonts w:hint="cs"/>
          <w:rtl/>
        </w:rPr>
        <w:t xml:space="preserve">משרת ראש הממשלה בישראל היא המשרה הרמה ביותר ברשות המבצעת </w:t>
      </w:r>
      <w:r w:rsidR="00634994">
        <w:rPr>
          <w:rFonts w:hint="cs"/>
          <w:rtl/>
        </w:rPr>
        <w:t>והחשובה ביותר</w:t>
      </w:r>
      <w:r w:rsidRPr="00300BC4">
        <w:rPr>
          <w:rFonts w:hint="cs"/>
          <w:rtl/>
        </w:rPr>
        <w:t xml:space="preserve"> בהנהגת המדינה. </w:t>
      </w:r>
      <w:r>
        <w:rPr>
          <w:rFonts w:hint="cs"/>
          <w:rtl/>
        </w:rPr>
        <w:t>הנושא בתפקיד ראש</w:t>
      </w:r>
      <w:r w:rsidRPr="00300BC4">
        <w:rPr>
          <w:rFonts w:hint="cs"/>
          <w:rtl/>
        </w:rPr>
        <w:t xml:space="preserve"> הממשלה מנווט את פעולת הממשלה, המשפיעה על חיי </w:t>
      </w:r>
      <w:r>
        <w:rPr>
          <w:rFonts w:hint="cs"/>
          <w:rtl/>
        </w:rPr>
        <w:t xml:space="preserve">כלל </w:t>
      </w:r>
      <w:r w:rsidRPr="00300BC4">
        <w:rPr>
          <w:rFonts w:hint="cs"/>
          <w:rtl/>
        </w:rPr>
        <w:t xml:space="preserve">האזרחים וגורל המדינה כולה, </w:t>
      </w:r>
      <w:r>
        <w:rPr>
          <w:rFonts w:hint="cs"/>
          <w:rtl/>
        </w:rPr>
        <w:t>ומכח זה</w:t>
      </w:r>
      <w:r w:rsidRPr="00300BC4">
        <w:rPr>
          <w:rFonts w:hint="cs"/>
          <w:rtl/>
        </w:rPr>
        <w:t xml:space="preserve"> הוא גם </w:t>
      </w:r>
      <w:r>
        <w:rPr>
          <w:rFonts w:hint="cs"/>
          <w:rtl/>
        </w:rPr>
        <w:t xml:space="preserve">מהווה </w:t>
      </w:r>
      <w:r w:rsidRPr="00300BC4">
        <w:rPr>
          <w:rFonts w:hint="cs"/>
          <w:rtl/>
        </w:rPr>
        <w:t>סמל שלטוני עבור כלל הציבור.</w:t>
      </w:r>
      <w:r w:rsidR="003A4BA7">
        <w:rPr>
          <w:rFonts w:hint="cs"/>
          <w:rtl/>
        </w:rPr>
        <w:t xml:space="preserve"> הכוח השלטוני שנמסר בידי הנושא בתפקיד ראש הממשלה הוא, אפוא, רב ונרחב</w:t>
      </w:r>
      <w:r w:rsidR="000A411F">
        <w:rPr>
          <w:rFonts w:hint="cs"/>
          <w:rtl/>
        </w:rPr>
        <w:t>, השפעתו על ענייני המדינה עמוקה וייחודית, ועיני הציבור הבוחנות את פעולות רשויות השלטון נשואות לעברו</w:t>
      </w:r>
      <w:r w:rsidR="00BF4757">
        <w:rPr>
          <w:rFonts w:hint="cs"/>
          <w:rtl/>
        </w:rPr>
        <w:t>, ללא קשר לזהות ה</w:t>
      </w:r>
      <w:r w:rsidR="00BF4757" w:rsidRPr="00300BC4">
        <w:rPr>
          <w:rFonts w:hint="cs"/>
          <w:rtl/>
        </w:rPr>
        <w:t>מפלגתית-פוליטית</w:t>
      </w:r>
      <w:r w:rsidR="00BF4757">
        <w:rPr>
          <w:rFonts w:hint="cs"/>
          <w:rtl/>
        </w:rPr>
        <w:t xml:space="preserve"> של נושא המשרה ברגע נתון.</w:t>
      </w:r>
    </w:p>
    <w:p w14:paraId="09407B76" w14:textId="77777777" w:rsidR="00BF4757" w:rsidRDefault="00BF4757" w:rsidP="00EC1611">
      <w:pPr>
        <w:rPr>
          <w:rtl/>
        </w:rPr>
      </w:pPr>
    </w:p>
    <w:p w14:paraId="09CD2581" w14:textId="77777777" w:rsidR="0059759D" w:rsidRDefault="003A4BA7" w:rsidP="006C3921">
      <w:pPr>
        <w:rPr>
          <w:rtl/>
        </w:rPr>
      </w:pPr>
      <w:r>
        <w:rPr>
          <w:rFonts w:hint="cs"/>
          <w:rtl/>
        </w:rPr>
        <w:t xml:space="preserve">הכוח השלטוני </w:t>
      </w:r>
      <w:r w:rsidR="0059759D">
        <w:rPr>
          <w:rFonts w:hint="cs"/>
          <w:rtl/>
        </w:rPr>
        <w:t>שמופקד</w:t>
      </w:r>
      <w:r>
        <w:rPr>
          <w:rFonts w:hint="cs"/>
          <w:rtl/>
        </w:rPr>
        <w:t xml:space="preserve"> בידי עובדי </w:t>
      </w:r>
      <w:r w:rsidR="0059759D">
        <w:rPr>
          <w:rFonts w:hint="cs"/>
          <w:rtl/>
        </w:rPr>
        <w:t xml:space="preserve">ציבור </w:t>
      </w:r>
      <w:r w:rsidR="000738EF">
        <w:rPr>
          <w:rFonts w:hint="cs"/>
          <w:rtl/>
        </w:rPr>
        <w:t xml:space="preserve">ונבחרי </w:t>
      </w:r>
      <w:r>
        <w:rPr>
          <w:rFonts w:hint="cs"/>
          <w:rtl/>
        </w:rPr>
        <w:t>ציבור מופקד בידם</w:t>
      </w:r>
      <w:r w:rsidR="000A411F">
        <w:rPr>
          <w:rFonts w:hint="cs"/>
          <w:rtl/>
        </w:rPr>
        <w:t xml:space="preserve"> </w:t>
      </w:r>
      <w:r w:rsidR="0059759D">
        <w:rPr>
          <w:rFonts w:hint="cs"/>
          <w:rtl/>
        </w:rPr>
        <w:t xml:space="preserve">אך </w:t>
      </w:r>
      <w:r>
        <w:rPr>
          <w:rFonts w:hint="cs"/>
          <w:rtl/>
        </w:rPr>
        <w:t xml:space="preserve">לשם קידום אינטרסים ציבוריים וממלכתיים. </w:t>
      </w:r>
      <w:r w:rsidR="00CC4BF5" w:rsidRPr="00D4581C">
        <w:rPr>
          <w:rFonts w:hint="cs"/>
          <w:rtl/>
        </w:rPr>
        <w:t>"איש ציבור שואב את מעמדו, תפקידו וסמכויותיו מעצם היותו נאמן הציבור. משמע, אלה אינם קניינו, ולא הוקנו לו לטובתו, אלא הופקדו בידיו כנאמן כדי שישתמש בהם, כפי שמקובל לגבי כל נאמן, לטובת הנהנה. הנהנה הוא הציבור, ומכאן שאיש הציבור רשאי, נכון יותר לומר חייב, להשתמש במשרת ורק כדי לשרת את הציבור".</w:t>
      </w:r>
      <w:bookmarkStart w:id="2" w:name="_Ref35381510"/>
      <w:r w:rsidR="00CC4BF5" w:rsidRPr="00D4581C">
        <w:rPr>
          <w:rStyle w:val="a7"/>
          <w:rtl/>
        </w:rPr>
        <w:footnoteReference w:id="1"/>
      </w:r>
      <w:bookmarkEnd w:id="2"/>
      <w:r w:rsidR="0059759D">
        <w:rPr>
          <w:rFonts w:hint="cs"/>
          <w:rtl/>
        </w:rPr>
        <w:t xml:space="preserve">. הפרת הנאמנות הציבורית, הכוללת </w:t>
      </w:r>
      <w:r w:rsidR="00CC4BF5">
        <w:rPr>
          <w:rFonts w:hint="cs"/>
          <w:rtl/>
        </w:rPr>
        <w:t>בתוכה את ה</w:t>
      </w:r>
      <w:r w:rsidR="0059759D">
        <w:rPr>
          <w:rFonts w:hint="cs"/>
          <w:rtl/>
        </w:rPr>
        <w:t>ערכים "תקינות פעילות המנהל"</w:t>
      </w:r>
      <w:r w:rsidR="006C3921">
        <w:rPr>
          <w:rFonts w:hint="cs"/>
          <w:rtl/>
        </w:rPr>
        <w:t>,</w:t>
      </w:r>
      <w:r w:rsidR="0059759D">
        <w:rPr>
          <w:rFonts w:hint="cs"/>
          <w:rtl/>
        </w:rPr>
        <w:t xml:space="preserve"> "אמון הציבור</w:t>
      </w:r>
      <w:r w:rsidR="00CC4BF5">
        <w:rPr>
          <w:rFonts w:hint="cs"/>
          <w:rtl/>
        </w:rPr>
        <w:t>" ו-טוהר המידות של משרתי הציבור"</w:t>
      </w:r>
      <w:r w:rsidR="0059759D">
        <w:rPr>
          <w:rFonts w:hint="cs"/>
          <w:rtl/>
        </w:rPr>
        <w:t xml:space="preserve">, </w:t>
      </w:r>
      <w:r w:rsidR="00CC4BF5">
        <w:rPr>
          <w:rFonts w:hint="cs"/>
          <w:rtl/>
        </w:rPr>
        <w:t xml:space="preserve">עלולה לפגום בכשירות לשרת את הציבור. </w:t>
      </w:r>
    </w:p>
    <w:p w14:paraId="1E246BDB" w14:textId="77777777" w:rsidR="00CC4BF5" w:rsidRDefault="00CC4BF5" w:rsidP="00CC4BF5">
      <w:pPr>
        <w:rPr>
          <w:rtl/>
        </w:rPr>
      </w:pPr>
    </w:p>
    <w:p w14:paraId="764A678E" w14:textId="77777777" w:rsidR="00CC4BF5" w:rsidRDefault="00CC4BF5" w:rsidP="00CC4BF5">
      <w:pPr>
        <w:rPr>
          <w:rtl/>
        </w:rPr>
      </w:pPr>
      <w:r w:rsidRPr="00D4581C">
        <w:rPr>
          <w:rtl/>
        </w:rPr>
        <w:t>בספר החוקים של מדינת ישראל קיימים יותר ממאה חוקים המגדירים תפקידים ציבוריים</w:t>
      </w:r>
      <w:r>
        <w:rPr>
          <w:rFonts w:hint="cs"/>
          <w:rtl/>
        </w:rPr>
        <w:t xml:space="preserve"> - אשר חלקם עוסק גם בנבחרי ציבור</w:t>
      </w:r>
      <w:r w:rsidRPr="00D4581C">
        <w:rPr>
          <w:rtl/>
        </w:rPr>
        <w:t xml:space="preserve">, </w:t>
      </w:r>
      <w:r>
        <w:rPr>
          <w:rFonts w:hint="cs"/>
          <w:rtl/>
        </w:rPr>
        <w:t>ה</w:t>
      </w:r>
      <w:r w:rsidRPr="00D4581C">
        <w:rPr>
          <w:rtl/>
        </w:rPr>
        <w:t xml:space="preserve">כוללים הוראה </w:t>
      </w:r>
      <w:r>
        <w:rPr>
          <w:rFonts w:hint="cs"/>
          <w:rtl/>
        </w:rPr>
        <w:t xml:space="preserve">כשירות לכהונה, וכן הוראות </w:t>
      </w:r>
      <w:r w:rsidRPr="00D4581C">
        <w:rPr>
          <w:rtl/>
        </w:rPr>
        <w:t>פוזיטיבי</w:t>
      </w:r>
      <w:r>
        <w:rPr>
          <w:rFonts w:hint="cs"/>
          <w:rtl/>
        </w:rPr>
        <w:t>ו</w:t>
      </w:r>
      <w:r w:rsidRPr="00D4581C">
        <w:rPr>
          <w:rtl/>
        </w:rPr>
        <w:t>ת המטיל</w:t>
      </w:r>
      <w:r>
        <w:rPr>
          <w:rFonts w:hint="cs"/>
          <w:rtl/>
        </w:rPr>
        <w:t>ות</w:t>
      </w:r>
      <w:r w:rsidRPr="00D4581C">
        <w:rPr>
          <w:rtl/>
        </w:rPr>
        <w:t xml:space="preserve"> חובה על הגורם הממנה, או על גורם ממונה אחר (כגון יו"ר ועדת הבחירות המרכזית), לבחון את התנהגותם של המבקשים לשרת את הציבור. </w:t>
      </w:r>
      <w:r w:rsidRPr="00D4581C">
        <w:rPr>
          <w:rFonts w:hint="cs"/>
          <w:rtl/>
        </w:rPr>
        <w:t>זאת</w:t>
      </w:r>
      <w:r w:rsidRPr="00D4581C">
        <w:rPr>
          <w:rtl/>
        </w:rPr>
        <w:t xml:space="preserve"> </w:t>
      </w:r>
      <w:r>
        <w:rPr>
          <w:rFonts w:hint="cs"/>
          <w:rtl/>
        </w:rPr>
        <w:t>משום</w:t>
      </w:r>
      <w:r w:rsidRPr="00D4581C">
        <w:rPr>
          <w:rFonts w:hint="cs"/>
          <w:rtl/>
        </w:rPr>
        <w:t xml:space="preserve"> ה</w:t>
      </w:r>
      <w:r w:rsidRPr="00D4581C">
        <w:rPr>
          <w:rtl/>
        </w:rPr>
        <w:t>צורך להבטיח כי משרות ציבוריות יופקדו בידי אנשים שלא נמצא בהתנהגותם פגם מוסרי המלמד על כך שאין הם ראויים "לשאת באחריות ציבורית להחלטות ולמעשים אשר עניני הכלל ושלום הציבור תלויים בהם".</w:t>
      </w:r>
      <w:r w:rsidRPr="00D4581C">
        <w:rPr>
          <w:rStyle w:val="a7"/>
          <w:rtl/>
        </w:rPr>
        <w:footnoteReference w:id="2"/>
      </w:r>
      <w:r>
        <w:rPr>
          <w:rFonts w:hint="cs"/>
          <w:rtl/>
        </w:rPr>
        <w:t xml:space="preserve"> </w:t>
      </w:r>
    </w:p>
    <w:p w14:paraId="1F7398DE" w14:textId="77777777" w:rsidR="003A4BA7" w:rsidRDefault="003A4BA7" w:rsidP="0059759D">
      <w:pPr>
        <w:rPr>
          <w:rtl/>
        </w:rPr>
      </w:pPr>
    </w:p>
    <w:p w14:paraId="30BC2DE1" w14:textId="77777777" w:rsidR="00CC4BF5" w:rsidRDefault="001919B9" w:rsidP="008A2122">
      <w:pPr>
        <w:rPr>
          <w:rtl/>
        </w:rPr>
      </w:pPr>
      <w:r>
        <w:rPr>
          <w:rFonts w:hint="cs"/>
          <w:rtl/>
        </w:rPr>
        <w:t xml:space="preserve">על רקע דברים אלה, </w:t>
      </w:r>
      <w:r w:rsidR="00EC1611">
        <w:rPr>
          <w:rFonts w:hint="cs"/>
          <w:rtl/>
        </w:rPr>
        <w:t xml:space="preserve">עמד בית המשפט העליון </w:t>
      </w:r>
      <w:r w:rsidR="00EC1611" w:rsidRPr="00F238A0">
        <w:rPr>
          <w:rtl/>
        </w:rPr>
        <w:t>על "הצורך להסדיר לעתיד לבוא בחקיקה מתאימה את הסוגיה הנוגעת להטלת מלאכת הרכבת הממשלה על חבר כנסת הנאשם בעבירות חמורות שיש עמן קלון. זאת, על מנת ליתן ביטוי ועיגון משפטי להיבטים הצ</w:t>
      </w:r>
      <w:r w:rsidR="00EC1611">
        <w:rPr>
          <w:rtl/>
        </w:rPr>
        <w:t>יבוריים והערכיים שמעלה סוגיה זו</w:t>
      </w:r>
      <w:r w:rsidR="00EC1611" w:rsidRPr="00F238A0">
        <w:rPr>
          <w:rtl/>
        </w:rPr>
        <w:t>" (בג"צ 2592/20)</w:t>
      </w:r>
      <w:r w:rsidR="00EC1611">
        <w:rPr>
          <w:rFonts w:hint="cs"/>
          <w:rtl/>
        </w:rPr>
        <w:t xml:space="preserve">. </w:t>
      </w:r>
    </w:p>
    <w:p w14:paraId="3E38D12D" w14:textId="77777777" w:rsidR="00CC4BF5" w:rsidRDefault="00CC4BF5" w:rsidP="008A2122">
      <w:pPr>
        <w:rPr>
          <w:rtl/>
        </w:rPr>
      </w:pPr>
    </w:p>
    <w:p w14:paraId="24BD8D48" w14:textId="77777777" w:rsidR="00EC1611" w:rsidRDefault="001919B9" w:rsidP="008A2122">
      <w:pPr>
        <w:rPr>
          <w:rtl/>
        </w:rPr>
      </w:pPr>
      <w:r>
        <w:rPr>
          <w:rFonts w:hint="cs"/>
          <w:rtl/>
        </w:rPr>
        <w:t>בהתאם לכך</w:t>
      </w:r>
      <w:r w:rsidR="00EC1611">
        <w:rPr>
          <w:rFonts w:hint="cs"/>
          <w:rtl/>
        </w:rPr>
        <w:t>, ועל מנת שהדין ביחס לראש ממשלה יהלום את המצב המשפטי החל על נבחרי ציבור</w:t>
      </w:r>
      <w:r>
        <w:rPr>
          <w:rFonts w:hint="cs"/>
          <w:rtl/>
        </w:rPr>
        <w:t xml:space="preserve"> אחרים</w:t>
      </w:r>
      <w:r w:rsidR="00EC1611">
        <w:rPr>
          <w:rFonts w:hint="cs"/>
          <w:rtl/>
        </w:rPr>
        <w:t>, מוצע לתקן את חוק היסוד. נציין לעניין זה את ההוראה שנקבעה בשנים האחרונות ב</w:t>
      </w:r>
      <w:r w:rsidR="00EC1611" w:rsidRPr="00D4581C">
        <w:rPr>
          <w:rFonts w:hint="cs"/>
          <w:rtl/>
        </w:rPr>
        <w:t xml:space="preserve">חוק </w:t>
      </w:r>
      <w:r w:rsidR="00EC1611" w:rsidRPr="00D4581C">
        <w:rPr>
          <w:rtl/>
        </w:rPr>
        <w:t>הרשויות המקומיות (בחירת ראש הרשות וסגניו וכהונתם)</w:t>
      </w:r>
      <w:r w:rsidR="00EC1611">
        <w:rPr>
          <w:rFonts w:hint="cs"/>
          <w:rtl/>
        </w:rPr>
        <w:t xml:space="preserve"> ביחס לכשירות ראש עיר לכהן תחת כתב אישום, ואת הדין ביחס </w:t>
      </w:r>
      <w:r w:rsidR="00EC1611">
        <w:rPr>
          <w:rFonts w:hint="cs"/>
          <w:rtl/>
        </w:rPr>
        <w:lastRenderedPageBreak/>
        <w:t>לכשירות שרים וסגני שרים לכהן תחת כתב אישום.</w:t>
      </w:r>
      <w:bookmarkStart w:id="3" w:name="_Ref34504340"/>
      <w:r w:rsidR="008A2122" w:rsidRPr="00D4581C">
        <w:rPr>
          <w:rStyle w:val="a7"/>
          <w:rtl/>
        </w:rPr>
        <w:footnoteReference w:id="3"/>
      </w:r>
      <w:bookmarkEnd w:id="3"/>
      <w:r w:rsidR="00EC1611">
        <w:rPr>
          <w:rFonts w:hint="cs"/>
          <w:rtl/>
        </w:rPr>
        <w:t xml:space="preserve"> </w:t>
      </w:r>
    </w:p>
    <w:p w14:paraId="16E1C625" w14:textId="77777777" w:rsidR="00EC1611" w:rsidRDefault="00EC1611" w:rsidP="003A4BA7">
      <w:pPr>
        <w:rPr>
          <w:rtl/>
        </w:rPr>
      </w:pPr>
    </w:p>
    <w:p w14:paraId="6E7B3BC0" w14:textId="6732F2A1" w:rsidR="00B768DC" w:rsidRDefault="00EC5CB9" w:rsidP="003079D5">
      <w:pPr>
        <w:rPr>
          <w:rtl/>
        </w:rPr>
      </w:pPr>
      <w:r>
        <w:rPr>
          <w:rFonts w:hint="cs"/>
          <w:rtl/>
        </w:rPr>
        <w:t>בהתאם לאמור</w:t>
      </w:r>
      <w:r w:rsidR="000A411F">
        <w:rPr>
          <w:rFonts w:hint="cs"/>
          <w:rtl/>
        </w:rPr>
        <w:t xml:space="preserve">, </w:t>
      </w:r>
      <w:r w:rsidR="002F4719">
        <w:rPr>
          <w:rFonts w:hint="cs"/>
          <w:rtl/>
        </w:rPr>
        <w:t>תזכיר החוק מציע להגביל את כשירותו של חבר הכנסת שנגדו תלוי ועומד כתב אישום, בנסיבות מסוימות, להרכיב את הממשלה.</w:t>
      </w:r>
      <w:r w:rsidR="00B768DC">
        <w:rPr>
          <w:rFonts w:hint="cs"/>
          <w:rtl/>
        </w:rPr>
        <w:t xml:space="preserve"> יחד עם זאת</w:t>
      </w:r>
      <w:r w:rsidR="00DE18CC">
        <w:rPr>
          <w:rFonts w:hint="cs"/>
          <w:rtl/>
        </w:rPr>
        <w:t>,</w:t>
      </w:r>
      <w:r w:rsidR="00B768DC">
        <w:rPr>
          <w:rFonts w:hint="cs"/>
          <w:rtl/>
        </w:rPr>
        <w:t xml:space="preserve"> </w:t>
      </w:r>
      <w:r w:rsidR="00DE18CC">
        <w:rPr>
          <w:rFonts w:hint="cs"/>
          <w:rtl/>
        </w:rPr>
        <w:t>הגבלת הכשירות להרכיב את הממשלה יש בה כדי להשפיע על האפשרות של ציבור הבוחרים לממש את רצונו הפוליטי לקבוע, באמצעות חברי הכנסת, את זהות ראש הממשלה שיוביל את המדינה בהתאם לתפיסתו ויקדם את הערכים והמדיניות שבו דוגל אותו ציבור</w:t>
      </w:r>
      <w:r w:rsidR="00B768DC">
        <w:rPr>
          <w:rFonts w:hint="cs"/>
          <w:rtl/>
        </w:rPr>
        <w:t>.</w:t>
      </w:r>
      <w:r>
        <w:rPr>
          <w:rFonts w:hint="cs"/>
          <w:rtl/>
        </w:rPr>
        <w:t xml:space="preserve"> </w:t>
      </w:r>
      <w:r w:rsidR="000955F7" w:rsidRPr="000955F7">
        <w:rPr>
          <w:rtl/>
        </w:rPr>
        <w:t>בכך יש פגיעה בזכות החוקתית לבחור ולהיבחר</w:t>
      </w:r>
      <w:r>
        <w:rPr>
          <w:rFonts w:hint="cs"/>
          <w:rtl/>
        </w:rPr>
        <w:t xml:space="preserve">. </w:t>
      </w:r>
      <w:r w:rsidR="00DE18CC">
        <w:rPr>
          <w:rFonts w:hint="cs"/>
          <w:rtl/>
        </w:rPr>
        <w:t xml:space="preserve"> </w:t>
      </w:r>
      <w:r w:rsidR="00B768DC">
        <w:rPr>
          <w:rFonts w:hint="cs"/>
          <w:rtl/>
        </w:rPr>
        <w:t>על כן, ההסדר המשפטי שמציע תזכיר החוק</w:t>
      </w:r>
      <w:r w:rsidR="007F6B61">
        <w:rPr>
          <w:rFonts w:hint="cs"/>
          <w:rtl/>
        </w:rPr>
        <w:t>,</w:t>
      </w:r>
      <w:r w:rsidR="00B768DC">
        <w:rPr>
          <w:rFonts w:hint="cs"/>
          <w:rtl/>
        </w:rPr>
        <w:t xml:space="preserve"> כפי שיפורט להלן, מאזן בין השיקולים השונים שעל הפרק, וקובע תנאים מסוימים</w:t>
      </w:r>
      <w:r w:rsidR="007F6B61">
        <w:rPr>
          <w:rFonts w:hint="cs"/>
          <w:rtl/>
        </w:rPr>
        <w:t xml:space="preserve"> </w:t>
      </w:r>
      <w:r>
        <w:rPr>
          <w:rFonts w:hint="cs"/>
          <w:rtl/>
        </w:rPr>
        <w:t>שרק בהתקיימם</w:t>
      </w:r>
      <w:r w:rsidR="00B768DC">
        <w:rPr>
          <w:rFonts w:hint="cs"/>
          <w:rtl/>
        </w:rPr>
        <w:t xml:space="preserve"> תוגבל הכשירות בעקבות הגשת כתב אישום</w:t>
      </w:r>
      <w:r w:rsidR="007F6B61">
        <w:rPr>
          <w:rFonts w:hint="cs"/>
          <w:rtl/>
        </w:rPr>
        <w:t>. כמו כן,</w:t>
      </w:r>
      <w:r w:rsidR="00B768DC">
        <w:rPr>
          <w:rFonts w:hint="cs"/>
          <w:rtl/>
        </w:rPr>
        <w:t xml:space="preserve"> </w:t>
      </w:r>
      <w:r w:rsidR="007F6B61">
        <w:rPr>
          <w:rFonts w:hint="cs"/>
          <w:rtl/>
        </w:rPr>
        <w:t>מוצע</w:t>
      </w:r>
      <w:r>
        <w:rPr>
          <w:rFonts w:hint="cs"/>
          <w:rtl/>
        </w:rPr>
        <w:t xml:space="preserve"> בתזכיר</w:t>
      </w:r>
      <w:r w:rsidR="007F6B61">
        <w:rPr>
          <w:rFonts w:hint="cs"/>
          <w:rtl/>
        </w:rPr>
        <w:t xml:space="preserve"> כי תינתן </w:t>
      </w:r>
      <w:r w:rsidR="00B768DC">
        <w:rPr>
          <w:rFonts w:hint="cs"/>
          <w:rtl/>
        </w:rPr>
        <w:t>אפשרות</w:t>
      </w:r>
      <w:r w:rsidR="007F6B61">
        <w:rPr>
          <w:rFonts w:hint="cs"/>
          <w:rtl/>
        </w:rPr>
        <w:t xml:space="preserve"> למועמד לפנות ל</w:t>
      </w:r>
      <w:r w:rsidR="00B768DC">
        <w:rPr>
          <w:rFonts w:hint="cs"/>
          <w:rtl/>
        </w:rPr>
        <w:t>יושב ראש ועדת הבחירות המרכזית</w:t>
      </w:r>
      <w:r w:rsidR="00CC4BF5">
        <w:rPr>
          <w:rFonts w:hint="cs"/>
          <w:rtl/>
        </w:rPr>
        <w:t xml:space="preserve">, שהוא </w:t>
      </w:r>
      <w:r w:rsidR="007F6B61">
        <w:rPr>
          <w:rFonts w:hint="cs"/>
          <w:rtl/>
        </w:rPr>
        <w:t>שופט בית המשפט העליון,</w:t>
      </w:r>
      <w:r w:rsidR="00B768DC">
        <w:rPr>
          <w:rFonts w:hint="cs"/>
          <w:rtl/>
        </w:rPr>
        <w:t xml:space="preserve"> </w:t>
      </w:r>
      <w:r w:rsidR="007F6B61">
        <w:rPr>
          <w:rFonts w:hint="cs"/>
          <w:rtl/>
        </w:rPr>
        <w:t>כדי</w:t>
      </w:r>
      <w:r w:rsidR="00B768DC">
        <w:rPr>
          <w:rFonts w:hint="cs"/>
          <w:rtl/>
        </w:rPr>
        <w:t xml:space="preserve"> שי</w:t>
      </w:r>
      <w:r w:rsidR="007F6B61">
        <w:rPr>
          <w:rFonts w:hint="cs"/>
          <w:rtl/>
        </w:rPr>
        <w:t>בחן</w:t>
      </w:r>
      <w:r w:rsidR="00B768DC">
        <w:rPr>
          <w:rFonts w:hint="cs"/>
          <w:rtl/>
        </w:rPr>
        <w:t xml:space="preserve"> באופן פרטני את המקרה לפי </w:t>
      </w:r>
      <w:r>
        <w:rPr>
          <w:rFonts w:hint="cs"/>
          <w:rtl/>
        </w:rPr>
        <w:t>העובדות המתוארות</w:t>
      </w:r>
      <w:r w:rsidR="00B768DC">
        <w:rPr>
          <w:rFonts w:hint="cs"/>
          <w:rtl/>
        </w:rPr>
        <w:t xml:space="preserve"> בכתב האישום, </w:t>
      </w:r>
      <w:r w:rsidR="007F6B61">
        <w:rPr>
          <w:rFonts w:hint="cs"/>
          <w:rtl/>
        </w:rPr>
        <w:t>ויקבע, לפי שיקול דעתו, ש</w:t>
      </w:r>
      <w:r w:rsidR="00B768DC">
        <w:rPr>
          <w:rFonts w:hint="cs"/>
          <w:rtl/>
        </w:rPr>
        <w:t>אין</w:t>
      </w:r>
      <w:r w:rsidR="007F6B61">
        <w:rPr>
          <w:rFonts w:hint="cs"/>
          <w:rtl/>
        </w:rPr>
        <w:t xml:space="preserve"> לשלול את כשירות המועמד </w:t>
      </w:r>
      <w:r w:rsidR="003079D5">
        <w:rPr>
          <w:rFonts w:hint="cs"/>
          <w:rtl/>
        </w:rPr>
        <w:t xml:space="preserve">להרכיב ממשלה על אף הגשת כתב האישום נגדו, </w:t>
      </w:r>
      <w:r w:rsidR="007F6B61">
        <w:rPr>
          <w:rFonts w:hint="cs"/>
          <w:rtl/>
        </w:rPr>
        <w:t>שכן</w:t>
      </w:r>
      <w:r w:rsidR="00B768DC">
        <w:rPr>
          <w:rFonts w:hint="cs"/>
          <w:rtl/>
        </w:rPr>
        <w:t xml:space="preserve"> </w:t>
      </w:r>
      <w:r w:rsidR="007F6B61">
        <w:rPr>
          <w:rFonts w:hint="cs"/>
          <w:rtl/>
        </w:rPr>
        <w:t>נסיבות ה</w:t>
      </w:r>
      <w:r w:rsidR="00B768DC">
        <w:rPr>
          <w:rFonts w:hint="cs"/>
          <w:rtl/>
        </w:rPr>
        <w:t>עבירה המיוחסת</w:t>
      </w:r>
      <w:r w:rsidR="007F6B61">
        <w:rPr>
          <w:rFonts w:hint="cs"/>
          <w:rtl/>
        </w:rPr>
        <w:t xml:space="preserve"> אינן </w:t>
      </w:r>
      <w:r w:rsidR="00CC4BF5">
        <w:rPr>
          <w:rFonts w:hint="cs"/>
          <w:rtl/>
        </w:rPr>
        <w:t>מלמדות כי דבק בהן קלון.</w:t>
      </w:r>
      <w:r w:rsidR="00B768DC">
        <w:rPr>
          <w:rFonts w:hint="cs"/>
          <w:rtl/>
        </w:rPr>
        <w:t xml:space="preserve"> </w:t>
      </w:r>
    </w:p>
    <w:p w14:paraId="08B02B71" w14:textId="77777777" w:rsidR="00B768DC" w:rsidRDefault="00B768DC" w:rsidP="00EC1611">
      <w:pPr>
        <w:rPr>
          <w:rtl/>
        </w:rPr>
      </w:pPr>
      <w:r>
        <w:rPr>
          <w:rFonts w:hint="cs"/>
          <w:rtl/>
        </w:rPr>
        <w:t xml:space="preserve"> </w:t>
      </w:r>
    </w:p>
    <w:p w14:paraId="697F36BC" w14:textId="77777777" w:rsidR="002F4719" w:rsidRDefault="00F946ED" w:rsidP="001919B9">
      <w:pPr>
        <w:rPr>
          <w:rtl/>
        </w:rPr>
      </w:pPr>
      <w:r>
        <w:rPr>
          <w:rFonts w:hint="cs"/>
          <w:rtl/>
        </w:rPr>
        <w:t>להצעה זו מספר טעמים:</w:t>
      </w:r>
    </w:p>
    <w:p w14:paraId="5063BC56" w14:textId="77777777" w:rsidR="002F4719" w:rsidRDefault="002F4719" w:rsidP="002F4719">
      <w:pPr>
        <w:rPr>
          <w:rtl/>
        </w:rPr>
      </w:pPr>
    </w:p>
    <w:p w14:paraId="1D3D1A9E" w14:textId="1D7BC89D" w:rsidR="006445DD" w:rsidRDefault="00A85DE3" w:rsidP="0007064D">
      <w:pPr>
        <w:rPr>
          <w:rtl/>
        </w:rPr>
      </w:pPr>
      <w:r w:rsidRPr="006F7F4C">
        <w:rPr>
          <w:rFonts w:hint="cs"/>
          <w:rtl/>
        </w:rPr>
        <w:t>מעמדו וכוחו הרב של ראש הממשלה נוגעים, במ</w:t>
      </w:r>
      <w:r>
        <w:rPr>
          <w:rFonts w:hint="cs"/>
          <w:rtl/>
        </w:rPr>
        <w:t>ישרין ובעקיפין, לכלל המערכות הציבוריות במדינה</w:t>
      </w:r>
      <w:r w:rsidR="0007064D">
        <w:rPr>
          <w:rFonts w:hint="cs"/>
          <w:rtl/>
        </w:rPr>
        <w:t>.</w:t>
      </w:r>
      <w:r>
        <w:rPr>
          <w:rFonts w:hint="cs"/>
          <w:rtl/>
        </w:rPr>
        <w:t xml:space="preserve"> כוח</w:t>
      </w:r>
      <w:r w:rsidR="00BF4757">
        <w:rPr>
          <w:rFonts w:hint="cs"/>
          <w:rtl/>
        </w:rPr>
        <w:t>ו</w:t>
      </w:r>
      <w:r>
        <w:rPr>
          <w:rFonts w:hint="cs"/>
          <w:rtl/>
        </w:rPr>
        <w:t xml:space="preserve"> השלטוני של ראש הממשלה מאפשר לו להשפיע באופן עמוק על מערכות שלטוניות נוספות</w:t>
      </w:r>
      <w:r w:rsidR="00BF4757">
        <w:rPr>
          <w:rFonts w:hint="cs"/>
          <w:rtl/>
        </w:rPr>
        <w:t>, על התנהלותה של כנסת ישראל</w:t>
      </w:r>
      <w:r w:rsidR="00FA6ADC">
        <w:rPr>
          <w:rFonts w:hint="cs"/>
          <w:rtl/>
        </w:rPr>
        <w:t>,</w:t>
      </w:r>
      <w:r w:rsidR="00CC4BF5">
        <w:rPr>
          <w:rFonts w:hint="cs"/>
          <w:rtl/>
        </w:rPr>
        <w:t xml:space="preserve"> </w:t>
      </w:r>
      <w:r w:rsidR="00FA6ADC">
        <w:rPr>
          <w:rFonts w:hint="cs"/>
          <w:rtl/>
        </w:rPr>
        <w:t>ו</w:t>
      </w:r>
      <w:r w:rsidR="00BF4757">
        <w:rPr>
          <w:rFonts w:hint="cs"/>
          <w:rtl/>
        </w:rPr>
        <w:t>גם השפעה מסוג זה עלולה לעורר בנסיבות של התנהלות משפט פלילי חשש מהטיית שיקול הדעת בעת קבלת החלטות בעניינים ציבוריים לאומיים.</w:t>
      </w:r>
      <w:r>
        <w:rPr>
          <w:rFonts w:hint="cs"/>
          <w:rtl/>
        </w:rPr>
        <w:t xml:space="preserve"> </w:t>
      </w:r>
      <w:r w:rsidR="006445DD">
        <w:rPr>
          <w:rFonts w:hint="cs"/>
          <w:rtl/>
        </w:rPr>
        <w:t xml:space="preserve"> </w:t>
      </w:r>
    </w:p>
    <w:p w14:paraId="4C32DE0A" w14:textId="77777777" w:rsidR="006445DD" w:rsidRDefault="006445DD" w:rsidP="00313404">
      <w:pPr>
        <w:rPr>
          <w:rtl/>
        </w:rPr>
      </w:pPr>
    </w:p>
    <w:p w14:paraId="567CF9C7" w14:textId="77777777" w:rsidR="00BF4757" w:rsidRDefault="00BF4757" w:rsidP="005F6598">
      <w:pPr>
        <w:rPr>
          <w:rtl/>
        </w:rPr>
      </w:pPr>
      <w:r>
        <w:rPr>
          <w:rFonts w:hint="cs"/>
          <w:rtl/>
        </w:rPr>
        <w:t>החשש מפגיעה</w:t>
      </w:r>
      <w:r w:rsidR="00112383">
        <w:rPr>
          <w:rFonts w:hint="cs"/>
          <w:rtl/>
        </w:rPr>
        <w:t xml:space="preserve"> ממשית</w:t>
      </w:r>
      <w:r>
        <w:rPr>
          <w:rFonts w:hint="cs"/>
          <w:rtl/>
        </w:rPr>
        <w:t xml:space="preserve"> בתקינות פעילות מוסדות השלטון</w:t>
      </w:r>
      <w:r w:rsidR="005F6598">
        <w:rPr>
          <w:rFonts w:hint="cs"/>
          <w:rtl/>
        </w:rPr>
        <w:t>, ומ</w:t>
      </w:r>
      <w:r w:rsidR="00FA6ADC">
        <w:rPr>
          <w:rFonts w:hint="cs"/>
          <w:rtl/>
        </w:rPr>
        <w:t>מ</w:t>
      </w:r>
      <w:r w:rsidR="005F6598">
        <w:rPr>
          <w:rFonts w:hint="cs"/>
          <w:rtl/>
        </w:rPr>
        <w:t>צב של ניגוד עניינים מובנה,</w:t>
      </w:r>
      <w:r>
        <w:rPr>
          <w:rFonts w:hint="cs"/>
          <w:rtl/>
        </w:rPr>
        <w:t xml:space="preserve"> </w:t>
      </w:r>
      <w:r w:rsidR="0007064D">
        <w:rPr>
          <w:rFonts w:hint="cs"/>
          <w:rtl/>
        </w:rPr>
        <w:t xml:space="preserve">בשל ההתנגשות בין האינטרס האישי לאינטרס הציבורי, </w:t>
      </w:r>
      <w:r>
        <w:rPr>
          <w:rFonts w:hint="cs"/>
          <w:rtl/>
        </w:rPr>
        <w:t>הוא אם כן טעם ראשון להגבלה המוצעת.</w:t>
      </w:r>
    </w:p>
    <w:p w14:paraId="13872076" w14:textId="77777777" w:rsidR="00BF4757" w:rsidRDefault="00BF4757" w:rsidP="001919B9">
      <w:pPr>
        <w:rPr>
          <w:rtl/>
        </w:rPr>
      </w:pPr>
    </w:p>
    <w:p w14:paraId="41F50830" w14:textId="30CBF8B1" w:rsidR="002F4719" w:rsidRDefault="002F4719" w:rsidP="00634994">
      <w:pPr>
        <w:rPr>
          <w:rtl/>
        </w:rPr>
      </w:pPr>
      <w:r w:rsidRPr="00300BC4">
        <w:rPr>
          <w:rFonts w:hint="cs"/>
          <w:rtl/>
        </w:rPr>
        <w:t>אמון הציבור בראש הממשלה ובמוסדות השלטון והחלטותיהם, ללא קשר לזהות המפלגתית-פוליטית של נושאי המשרה השלטונית ברגע נתון, היא יסוד חיוני עבור משטר דמוקרטי</w:t>
      </w:r>
      <w:r w:rsidR="00F946ED">
        <w:rPr>
          <w:rFonts w:hint="cs"/>
          <w:rtl/>
        </w:rPr>
        <w:t>, שכן כרסום</w:t>
      </w:r>
      <w:r w:rsidR="00366A1A">
        <w:rPr>
          <w:rFonts w:hint="cs"/>
          <w:rtl/>
        </w:rPr>
        <w:t xml:space="preserve"> </w:t>
      </w:r>
      <w:r w:rsidRPr="00300BC4">
        <w:rPr>
          <w:rFonts w:hint="cs"/>
          <w:rtl/>
        </w:rPr>
        <w:t xml:space="preserve">באמון זה עלול </w:t>
      </w:r>
      <w:r w:rsidR="00FA6ADC">
        <w:rPr>
          <w:rFonts w:hint="cs"/>
          <w:rtl/>
        </w:rPr>
        <w:t xml:space="preserve">לעתים </w:t>
      </w:r>
      <w:r w:rsidRPr="00300BC4">
        <w:rPr>
          <w:rFonts w:hint="cs"/>
          <w:rtl/>
        </w:rPr>
        <w:t>לגרור לפקפוק מצד האזרחים בלגיטימיות של פעולות הרשות השלטונית.</w:t>
      </w:r>
      <w:r w:rsidR="00112383">
        <w:rPr>
          <w:rFonts w:hint="cs"/>
          <w:rtl/>
        </w:rPr>
        <w:t xml:space="preserve"> אמונו של הציבור בכך שהכוח השלטוני משמש לטובת הציבור כרוך ברעיון לפיו עובדי הציבור המשרתים את הציבור כפופים לעקרון הנאמנות הציבורית, היינו משתמשים בכוחם השלטוני לטובת קידום אינטרסים ציבוריים </w:t>
      </w:r>
      <w:r w:rsidR="00FA6ADC">
        <w:rPr>
          <w:rFonts w:hint="cs"/>
          <w:rtl/>
        </w:rPr>
        <w:t>ממלכתיים</w:t>
      </w:r>
      <w:r w:rsidR="00112383">
        <w:rPr>
          <w:rFonts w:hint="cs"/>
          <w:rtl/>
        </w:rPr>
        <w:t xml:space="preserve">. </w:t>
      </w:r>
      <w:r w:rsidR="00F946ED">
        <w:rPr>
          <w:rFonts w:hint="cs"/>
          <w:rtl/>
        </w:rPr>
        <w:t>ו</w:t>
      </w:r>
      <w:r w:rsidRPr="00300BC4">
        <w:rPr>
          <w:rFonts w:hint="cs"/>
          <w:rtl/>
        </w:rPr>
        <w:t>אולם</w:t>
      </w:r>
      <w:r w:rsidR="00F946ED">
        <w:rPr>
          <w:rFonts w:hint="cs"/>
          <w:rtl/>
        </w:rPr>
        <w:t>, קשה להלום</w:t>
      </w:r>
      <w:r w:rsidRPr="00300BC4">
        <w:rPr>
          <w:rFonts w:hint="cs"/>
          <w:rtl/>
        </w:rPr>
        <w:t xml:space="preserve"> רעיו</w:t>
      </w:r>
      <w:r w:rsidR="00112383">
        <w:rPr>
          <w:rFonts w:hint="cs"/>
          <w:rtl/>
        </w:rPr>
        <w:t>ן של</w:t>
      </w:r>
      <w:r w:rsidRPr="00300BC4">
        <w:rPr>
          <w:rFonts w:hint="cs"/>
          <w:rtl/>
        </w:rPr>
        <w:t xml:space="preserve"> נאמנות </w:t>
      </w:r>
      <w:r w:rsidR="00F946ED">
        <w:rPr>
          <w:rFonts w:hint="cs"/>
          <w:rtl/>
        </w:rPr>
        <w:t xml:space="preserve">זו כלפי הציבור ואמון הציבור בנבחר ציבור, עם </w:t>
      </w:r>
      <w:r w:rsidR="00366A1A">
        <w:rPr>
          <w:rFonts w:hint="cs"/>
          <w:rtl/>
        </w:rPr>
        <w:t>מצב שבו</w:t>
      </w:r>
      <w:r w:rsidRPr="00300BC4">
        <w:rPr>
          <w:rFonts w:hint="cs"/>
          <w:rtl/>
        </w:rPr>
        <w:t xml:space="preserve"> </w:t>
      </w:r>
      <w:r w:rsidR="00F946ED">
        <w:rPr>
          <w:rFonts w:hint="cs"/>
          <w:rtl/>
        </w:rPr>
        <w:t xml:space="preserve">הוגש </w:t>
      </w:r>
      <w:r w:rsidR="00366A1A">
        <w:rPr>
          <w:rFonts w:hint="cs"/>
          <w:rtl/>
        </w:rPr>
        <w:t xml:space="preserve">כתב </w:t>
      </w:r>
      <w:r w:rsidRPr="00300BC4">
        <w:rPr>
          <w:rFonts w:hint="cs"/>
          <w:rtl/>
        </w:rPr>
        <w:t>אישום במעשה פלילי</w:t>
      </w:r>
      <w:r w:rsidR="00112383">
        <w:rPr>
          <w:rFonts w:hint="cs"/>
          <w:rtl/>
        </w:rPr>
        <w:t xml:space="preserve"> </w:t>
      </w:r>
      <w:r w:rsidR="00F946ED">
        <w:rPr>
          <w:rFonts w:hint="cs"/>
          <w:rtl/>
        </w:rPr>
        <w:t xml:space="preserve">נגד נבחר הציבור </w:t>
      </w:r>
      <w:r w:rsidRPr="00300BC4">
        <w:rPr>
          <w:rFonts w:hint="cs"/>
          <w:rtl/>
        </w:rPr>
        <w:t xml:space="preserve">מטעם המדינה </w:t>
      </w:r>
      <w:r w:rsidR="00366A1A">
        <w:rPr>
          <w:rFonts w:hint="cs"/>
          <w:rtl/>
        </w:rPr>
        <w:t>בידי</w:t>
      </w:r>
      <w:r w:rsidR="00F946ED">
        <w:rPr>
          <w:rFonts w:hint="cs"/>
          <w:rtl/>
        </w:rPr>
        <w:t xml:space="preserve"> הגורמים המוסמכים לכך בדין</w:t>
      </w:r>
      <w:r w:rsidRPr="00300BC4">
        <w:rPr>
          <w:rFonts w:hint="cs"/>
          <w:rtl/>
        </w:rPr>
        <w:t>, בנסיבות שבהן המעשים המיוחסים לו מעוררים חשש לקלקול מוסרי-ערכי</w:t>
      </w:r>
      <w:r w:rsidR="00112383">
        <w:rPr>
          <w:rFonts w:hint="cs"/>
          <w:rtl/>
        </w:rPr>
        <w:t xml:space="preserve"> ומציבים אותו, בשים לב לטיב המעשים המיוחסים</w:t>
      </w:r>
      <w:r w:rsidRPr="00300BC4">
        <w:rPr>
          <w:rFonts w:hint="cs"/>
          <w:rtl/>
        </w:rPr>
        <w:t>. כך לגבי נבחרי ציבור בכלל וכך, קל וחומר, לגבי ראש הממשלה עצמו.</w:t>
      </w:r>
      <w:r>
        <w:rPr>
          <w:rFonts w:hint="cs"/>
          <w:rtl/>
        </w:rPr>
        <w:t xml:space="preserve"> </w:t>
      </w:r>
    </w:p>
    <w:p w14:paraId="7047F18D" w14:textId="77777777" w:rsidR="00A143B6" w:rsidRDefault="00A143B6" w:rsidP="002F4719">
      <w:pPr>
        <w:rPr>
          <w:rtl/>
        </w:rPr>
      </w:pPr>
    </w:p>
    <w:p w14:paraId="130A9F71" w14:textId="77777777" w:rsidR="002F4719" w:rsidRPr="00300BC4" w:rsidRDefault="002F4719" w:rsidP="00EC1611">
      <w:pPr>
        <w:rPr>
          <w:rtl/>
        </w:rPr>
      </w:pPr>
      <w:r>
        <w:rPr>
          <w:rFonts w:hint="cs"/>
          <w:rtl/>
        </w:rPr>
        <w:t>החשש לפגיעה באמון הציבור הוא אם כן טעם</w:t>
      </w:r>
      <w:r w:rsidR="00112383">
        <w:rPr>
          <w:rFonts w:hint="cs"/>
          <w:rtl/>
        </w:rPr>
        <w:t xml:space="preserve"> שני</w:t>
      </w:r>
      <w:r>
        <w:rPr>
          <w:rFonts w:hint="cs"/>
          <w:rtl/>
        </w:rPr>
        <w:t xml:space="preserve"> להגבלה המוצעת.</w:t>
      </w:r>
    </w:p>
    <w:p w14:paraId="19937736" w14:textId="77777777" w:rsidR="007B26CD" w:rsidRDefault="007B26CD" w:rsidP="007B26CD">
      <w:pPr>
        <w:rPr>
          <w:rtl/>
        </w:rPr>
      </w:pPr>
    </w:p>
    <w:p w14:paraId="49511F32" w14:textId="77777777" w:rsidR="007B26CD" w:rsidRDefault="007B26CD" w:rsidP="001B5AFB">
      <w:pPr>
        <w:rPr>
          <w:rtl/>
        </w:rPr>
      </w:pPr>
      <w:r>
        <w:rPr>
          <w:rFonts w:hint="cs"/>
          <w:rtl/>
        </w:rPr>
        <w:t>טעם חשוב נוסף שיש בו להצדיק את המגבלה המוצעת קשור</w:t>
      </w:r>
      <w:r w:rsidR="00112383">
        <w:rPr>
          <w:rFonts w:hint="cs"/>
          <w:rtl/>
        </w:rPr>
        <w:t xml:space="preserve"> בכשירותו של נאשם בפלילים לבצע את תפקיד ראש הממשלה, תוך הקצאת המשאבים הנדרשים לשם התמודדות עם משפט פלילי שבמסגרתו מיוחסים לו מעשים המעוררים </w:t>
      </w:r>
      <w:r w:rsidR="00112383" w:rsidRPr="00300BC4">
        <w:rPr>
          <w:rFonts w:hint="cs"/>
          <w:rtl/>
        </w:rPr>
        <w:t>חשש לקלקול מוסרי-ערכי</w:t>
      </w:r>
      <w:r w:rsidR="00112383">
        <w:rPr>
          <w:rFonts w:hint="cs"/>
          <w:rtl/>
        </w:rPr>
        <w:t xml:space="preserve">. </w:t>
      </w:r>
      <w:r>
        <w:rPr>
          <w:rFonts w:hint="cs"/>
          <w:rtl/>
        </w:rPr>
        <w:t xml:space="preserve">מן המפורסמות הוא כי תפקיד ראש הממשלה הוא העמוס והמורכב מבין המשרות השלטוניות בישראל. הצורך, המובן והמוצדק, של ראש הממשלה כנאשם לנהל את </w:t>
      </w:r>
      <w:r>
        <w:rPr>
          <w:rFonts w:hint="cs"/>
          <w:rtl/>
        </w:rPr>
        <w:lastRenderedPageBreak/>
        <w:t>הגנתו והאילוצים שעלול ההליך השיפוטי להטיל על סדר יומו</w:t>
      </w:r>
      <w:r w:rsidR="00DE18CC">
        <w:rPr>
          <w:rFonts w:hint="cs"/>
          <w:rtl/>
        </w:rPr>
        <w:t xml:space="preserve"> </w:t>
      </w:r>
      <w:r>
        <w:rPr>
          <w:rFonts w:hint="cs"/>
          <w:rtl/>
        </w:rPr>
        <w:t>עלולים גם הם לפגום ביכולתו של ראש הממשלה למלא את משרתו ביעילות</w:t>
      </w:r>
      <w:r w:rsidR="00DE18CC">
        <w:rPr>
          <w:rFonts w:hint="cs"/>
          <w:rtl/>
        </w:rPr>
        <w:t xml:space="preserve"> </w:t>
      </w:r>
      <w:r>
        <w:rPr>
          <w:rFonts w:hint="cs"/>
          <w:rtl/>
        </w:rPr>
        <w:t xml:space="preserve">ובפניות הנדרשת למען הציבור. </w:t>
      </w:r>
    </w:p>
    <w:p w14:paraId="48268D11" w14:textId="77777777" w:rsidR="00DE18CC" w:rsidRDefault="00DE18CC" w:rsidP="002F4719">
      <w:pPr>
        <w:rPr>
          <w:rtl/>
        </w:rPr>
      </w:pPr>
    </w:p>
    <w:p w14:paraId="09FE9F18" w14:textId="77777777" w:rsidR="002F4719" w:rsidRDefault="002F4719" w:rsidP="000349B0">
      <w:pPr>
        <w:rPr>
          <w:rtl/>
        </w:rPr>
      </w:pPr>
      <w:r>
        <w:rPr>
          <w:rFonts w:hint="cs"/>
          <w:rtl/>
        </w:rPr>
        <w:t>בצד הצדקות אלה</w:t>
      </w:r>
      <w:r w:rsidR="007F6B61">
        <w:rPr>
          <w:rFonts w:hint="cs"/>
          <w:rtl/>
        </w:rPr>
        <w:t>, כאמור,</w:t>
      </w:r>
      <w:r>
        <w:rPr>
          <w:rFonts w:hint="cs"/>
          <w:rtl/>
        </w:rPr>
        <w:t xml:space="preserve"> הגבלת הכשירות להרכיב את הממשלה יש בה</w:t>
      </w:r>
      <w:r w:rsidR="007F6B61">
        <w:rPr>
          <w:rFonts w:hint="cs"/>
          <w:rtl/>
        </w:rPr>
        <w:t xml:space="preserve"> </w:t>
      </w:r>
      <w:r w:rsidR="0017030D">
        <w:rPr>
          <w:rFonts w:hint="cs"/>
          <w:rtl/>
        </w:rPr>
        <w:t>כדי להביא לפגיעה בזכות החוקתית לבחור ולהיבחר</w:t>
      </w:r>
      <w:r>
        <w:rPr>
          <w:rFonts w:hint="cs"/>
          <w:rtl/>
        </w:rPr>
        <w:t xml:space="preserve">. </w:t>
      </w:r>
      <w:r w:rsidRPr="00CD40BD">
        <w:rPr>
          <w:rFonts w:hint="cs"/>
          <w:rtl/>
        </w:rPr>
        <w:t>בנסיבות פוליטיות מסוימות</w:t>
      </w:r>
      <w:r w:rsidR="0017030D">
        <w:rPr>
          <w:rFonts w:hint="cs"/>
          <w:rtl/>
        </w:rPr>
        <w:t>,</w:t>
      </w:r>
      <w:r w:rsidRPr="00CD40BD">
        <w:rPr>
          <w:rFonts w:hint="cs"/>
          <w:rtl/>
        </w:rPr>
        <w:t xml:space="preserve"> </w:t>
      </w:r>
      <w:r w:rsidR="0017030D">
        <w:rPr>
          <w:rFonts w:hint="cs"/>
          <w:rtl/>
        </w:rPr>
        <w:t>ב</w:t>
      </w:r>
      <w:r w:rsidRPr="00CD40BD">
        <w:rPr>
          <w:rFonts w:hint="cs"/>
          <w:rtl/>
        </w:rPr>
        <w:t xml:space="preserve">שלילת כשירותו של מנהיג מסוים של מפלגה </w:t>
      </w:r>
      <w:r>
        <w:rPr>
          <w:rFonts w:hint="cs"/>
          <w:rtl/>
        </w:rPr>
        <w:t xml:space="preserve">מסוימת </w:t>
      </w:r>
      <w:r w:rsidR="007F6B61">
        <w:rPr>
          <w:rFonts w:hint="cs"/>
          <w:rtl/>
        </w:rPr>
        <w:t xml:space="preserve">אף </w:t>
      </w:r>
      <w:r w:rsidR="0017030D">
        <w:rPr>
          <w:rFonts w:hint="cs"/>
          <w:rtl/>
        </w:rPr>
        <w:t>יש כדי</w:t>
      </w:r>
      <w:r w:rsidR="0017030D" w:rsidRPr="00CD40BD">
        <w:rPr>
          <w:rFonts w:hint="cs"/>
          <w:rtl/>
        </w:rPr>
        <w:t xml:space="preserve"> </w:t>
      </w:r>
      <w:r w:rsidRPr="00CD40BD">
        <w:rPr>
          <w:rFonts w:hint="cs"/>
          <w:rtl/>
        </w:rPr>
        <w:t xml:space="preserve">לשנות את פני המפה הפוליטית ואת ההרכב המפלגתי, לא רק האישי, </w:t>
      </w:r>
      <w:r w:rsidR="000349B0">
        <w:rPr>
          <w:rFonts w:hint="cs"/>
          <w:rtl/>
        </w:rPr>
        <w:t xml:space="preserve">אלא </w:t>
      </w:r>
      <w:r w:rsidRPr="00CD40BD">
        <w:rPr>
          <w:rFonts w:hint="cs"/>
          <w:rtl/>
        </w:rPr>
        <w:t>של הממשלה</w:t>
      </w:r>
      <w:r w:rsidR="00143229">
        <w:rPr>
          <w:rFonts w:hint="cs"/>
          <w:rtl/>
        </w:rPr>
        <w:t xml:space="preserve"> </w:t>
      </w:r>
      <w:r w:rsidR="000349B0">
        <w:rPr>
          <w:rFonts w:hint="cs"/>
          <w:rtl/>
        </w:rPr>
        <w:t>כולה.</w:t>
      </w:r>
      <w:r w:rsidRPr="00CD40BD">
        <w:rPr>
          <w:rFonts w:hint="cs"/>
          <w:rtl/>
        </w:rPr>
        <w:t xml:space="preserve"> </w:t>
      </w:r>
    </w:p>
    <w:p w14:paraId="082A0E00" w14:textId="77777777" w:rsidR="002F4719" w:rsidRDefault="002F4719" w:rsidP="002F4719">
      <w:pPr>
        <w:rPr>
          <w:rtl/>
        </w:rPr>
      </w:pPr>
    </w:p>
    <w:p w14:paraId="5067C4E8" w14:textId="3C4B8C5E" w:rsidR="0017030D" w:rsidRDefault="002F4719" w:rsidP="00634994">
      <w:pPr>
        <w:rPr>
          <w:rtl/>
        </w:rPr>
      </w:pPr>
      <w:r>
        <w:rPr>
          <w:rFonts w:hint="cs"/>
          <w:rtl/>
        </w:rPr>
        <w:t xml:space="preserve">מתוך </w:t>
      </w:r>
      <w:r w:rsidR="000349B0">
        <w:rPr>
          <w:rFonts w:hint="cs"/>
          <w:rtl/>
        </w:rPr>
        <w:t xml:space="preserve">רצון לנסות ולאזן </w:t>
      </w:r>
      <w:r>
        <w:rPr>
          <w:rFonts w:hint="cs"/>
          <w:rtl/>
        </w:rPr>
        <w:t>בין השיקולים האמורים,</w:t>
      </w:r>
      <w:r w:rsidR="0017030D" w:rsidRPr="0017030D">
        <w:rPr>
          <w:rFonts w:hint="cs"/>
          <w:rtl/>
        </w:rPr>
        <w:t xml:space="preserve"> </w:t>
      </w:r>
      <w:r w:rsidR="0017030D">
        <w:rPr>
          <w:rFonts w:hint="cs"/>
          <w:rtl/>
        </w:rPr>
        <w:t xml:space="preserve">ההסדר המוצע מתייחס רק לשלב של הרכבת הממשלה אך אינו מחמיר ומשנה את הדין הקיים בכל הנוגע להפסקת כהונה של ראש הממשלה מכהן שנגדו הוגש כתב אישום. זאת בשל המשמעות הפוליטית והציבורית החמורה יותר שיש להדחה כזאת, </w:t>
      </w:r>
      <w:r w:rsidR="0017030D" w:rsidRPr="00082A17">
        <w:rPr>
          <w:rFonts w:hint="cs"/>
          <w:rtl/>
        </w:rPr>
        <w:t>במהלך הכהונה,</w:t>
      </w:r>
      <w:r w:rsidR="0017030D">
        <w:rPr>
          <w:rFonts w:hint="cs"/>
          <w:rtl/>
        </w:rPr>
        <w:t xml:space="preserve"> </w:t>
      </w:r>
      <w:r w:rsidR="00634994">
        <w:rPr>
          <w:rFonts w:hint="cs"/>
          <w:rtl/>
        </w:rPr>
        <w:t xml:space="preserve">להבדיל </w:t>
      </w:r>
      <w:r w:rsidR="00A85CEC">
        <w:rPr>
          <w:rFonts w:hint="cs"/>
          <w:rtl/>
        </w:rPr>
        <w:t>מ</w:t>
      </w:r>
      <w:r w:rsidR="0017030D">
        <w:rPr>
          <w:rFonts w:hint="cs"/>
          <w:rtl/>
        </w:rPr>
        <w:t>מניעת הכהונה מראש, כאשר כלל הציבור והמ</w:t>
      </w:r>
      <w:r w:rsidR="00313404">
        <w:rPr>
          <w:rFonts w:hint="cs"/>
          <w:rtl/>
        </w:rPr>
        <w:t>פ</w:t>
      </w:r>
      <w:r w:rsidR="0017030D">
        <w:rPr>
          <w:rFonts w:hint="cs"/>
          <w:rtl/>
        </w:rPr>
        <w:t>לגות הרלבנטיות מודע</w:t>
      </w:r>
      <w:r w:rsidR="000349B0">
        <w:rPr>
          <w:rFonts w:hint="cs"/>
          <w:rtl/>
        </w:rPr>
        <w:t>ים</w:t>
      </w:r>
      <w:r w:rsidR="0017030D">
        <w:rPr>
          <w:rFonts w:hint="cs"/>
          <w:rtl/>
        </w:rPr>
        <w:t xml:space="preserve"> מראש למגבלה העתידית של הטלת תפקיד הרכבת הממשלה על נאשם.</w:t>
      </w:r>
    </w:p>
    <w:p w14:paraId="37F9C6E2" w14:textId="77777777" w:rsidR="00366A1A" w:rsidRPr="006F7F4C" w:rsidRDefault="00366A1A" w:rsidP="0017030D">
      <w:pPr>
        <w:rPr>
          <w:rtl/>
        </w:rPr>
      </w:pPr>
    </w:p>
    <w:p w14:paraId="044F9456" w14:textId="3954BC2E" w:rsidR="00143229" w:rsidRDefault="0017030D" w:rsidP="001B5AFB">
      <w:pPr>
        <w:rPr>
          <w:rtl/>
        </w:rPr>
      </w:pPr>
      <w:r>
        <w:rPr>
          <w:rFonts w:hint="cs"/>
          <w:rtl/>
        </w:rPr>
        <w:t xml:space="preserve">בנוסף, </w:t>
      </w:r>
      <w:r w:rsidR="002F4719">
        <w:rPr>
          <w:rFonts w:hint="cs"/>
          <w:rtl/>
        </w:rPr>
        <w:t>תזכיר החוק מציע כי רק בתנאים מסוימים ת</w:t>
      </w:r>
      <w:r>
        <w:rPr>
          <w:rFonts w:hint="cs"/>
          <w:rtl/>
        </w:rPr>
        <w:t>י</w:t>
      </w:r>
      <w:r w:rsidR="002F4719">
        <w:rPr>
          <w:rFonts w:hint="cs"/>
          <w:rtl/>
        </w:rPr>
        <w:t>שלל הכשירות להרכיב את הממשלה</w:t>
      </w:r>
      <w:r w:rsidR="00993AED">
        <w:rPr>
          <w:rFonts w:hint="cs"/>
          <w:rtl/>
        </w:rPr>
        <w:t xml:space="preserve"> - </w:t>
      </w:r>
      <w:r w:rsidR="002F4719">
        <w:rPr>
          <w:rFonts w:hint="cs"/>
          <w:rtl/>
        </w:rPr>
        <w:t xml:space="preserve">רק בעבירות שהעונש הקבוע </w:t>
      </w:r>
      <w:r w:rsidR="002F4719" w:rsidRPr="00DE18CC">
        <w:rPr>
          <w:rFonts w:hint="eastAsia"/>
          <w:rtl/>
        </w:rPr>
        <w:t>להן</w:t>
      </w:r>
      <w:r w:rsidR="002F4719" w:rsidRPr="00DE18CC">
        <w:rPr>
          <w:rtl/>
        </w:rPr>
        <w:t xml:space="preserve"> </w:t>
      </w:r>
      <w:r w:rsidR="002F4719" w:rsidRPr="00DE18CC">
        <w:rPr>
          <w:rFonts w:hint="eastAsia"/>
          <w:rtl/>
        </w:rPr>
        <w:t>בחוק</w:t>
      </w:r>
      <w:r w:rsidR="002F4719" w:rsidRPr="00DE18CC">
        <w:rPr>
          <w:rtl/>
        </w:rPr>
        <w:t xml:space="preserve"> </w:t>
      </w:r>
      <w:r w:rsidR="002F4719" w:rsidRPr="00DE18CC">
        <w:rPr>
          <w:rFonts w:hint="eastAsia"/>
          <w:rtl/>
        </w:rPr>
        <w:t>הוא</w:t>
      </w:r>
      <w:r w:rsidR="00366A1A" w:rsidRPr="00DE18CC">
        <w:rPr>
          <w:rtl/>
        </w:rPr>
        <w:t xml:space="preserve"> </w:t>
      </w:r>
      <w:r w:rsidR="00993AED" w:rsidRPr="00143229">
        <w:rPr>
          <w:rFonts w:hint="eastAsia"/>
          <w:rtl/>
        </w:rPr>
        <w:t>שלוש</w:t>
      </w:r>
      <w:r w:rsidR="00993AED" w:rsidRPr="00143229">
        <w:rPr>
          <w:rtl/>
        </w:rPr>
        <w:t xml:space="preserve"> </w:t>
      </w:r>
      <w:r w:rsidR="00993AED" w:rsidRPr="00143229">
        <w:rPr>
          <w:rFonts w:hint="eastAsia"/>
          <w:rtl/>
        </w:rPr>
        <w:t>שנות</w:t>
      </w:r>
      <w:r w:rsidR="00993AED" w:rsidRPr="00143229">
        <w:rPr>
          <w:rtl/>
        </w:rPr>
        <w:t xml:space="preserve"> </w:t>
      </w:r>
      <w:r w:rsidR="00993AED" w:rsidRPr="00143229">
        <w:rPr>
          <w:rFonts w:hint="eastAsia"/>
          <w:rtl/>
        </w:rPr>
        <w:t>מאסר</w:t>
      </w:r>
      <w:r w:rsidR="00993AED" w:rsidRPr="00143229">
        <w:rPr>
          <w:rtl/>
        </w:rPr>
        <w:t xml:space="preserve"> </w:t>
      </w:r>
      <w:r w:rsidR="00993AED" w:rsidRPr="00143229">
        <w:rPr>
          <w:rFonts w:hint="eastAsia"/>
          <w:rtl/>
        </w:rPr>
        <w:t>או</w:t>
      </w:r>
      <w:r w:rsidR="00993AED" w:rsidRPr="00143229">
        <w:rPr>
          <w:rtl/>
        </w:rPr>
        <w:t xml:space="preserve"> </w:t>
      </w:r>
      <w:r w:rsidR="00993AED" w:rsidRPr="00143229">
        <w:rPr>
          <w:rFonts w:hint="eastAsia"/>
          <w:rtl/>
        </w:rPr>
        <w:t>יותר</w:t>
      </w:r>
      <w:r w:rsidR="00993AED" w:rsidRPr="00DE18CC">
        <w:rPr>
          <w:rtl/>
        </w:rPr>
        <w:t xml:space="preserve">. </w:t>
      </w:r>
      <w:r w:rsidR="007F6B61">
        <w:rPr>
          <w:rFonts w:hint="cs"/>
          <w:rtl/>
        </w:rPr>
        <w:t xml:space="preserve">יתרה מכך, </w:t>
      </w:r>
      <w:r w:rsidR="00F00352" w:rsidRPr="00DE18CC">
        <w:rPr>
          <w:rFonts w:hint="eastAsia"/>
          <w:rtl/>
        </w:rPr>
        <w:t>גם</w:t>
      </w:r>
      <w:r w:rsidR="00F00352">
        <w:rPr>
          <w:rFonts w:hint="cs"/>
          <w:rtl/>
        </w:rPr>
        <w:t xml:space="preserve"> אם הוגש כתב אישום המייחס ביצוע של עבירה בחומרה כאמור, לא יחול הכלל הפוסל אם יקבע </w:t>
      </w:r>
      <w:r w:rsidR="00993AED">
        <w:rPr>
          <w:rFonts w:hint="cs"/>
          <w:rtl/>
        </w:rPr>
        <w:t xml:space="preserve"> </w:t>
      </w:r>
      <w:r w:rsidR="002F4719">
        <w:rPr>
          <w:rFonts w:hint="cs"/>
          <w:rtl/>
        </w:rPr>
        <w:t>יושב ראש ועדת הבחירות המרכזית, לאחר שבחן באופן פרטני את</w:t>
      </w:r>
      <w:r w:rsidR="007F6B61">
        <w:rPr>
          <w:rFonts w:hint="cs"/>
          <w:rtl/>
        </w:rPr>
        <w:t xml:space="preserve"> </w:t>
      </w:r>
      <w:r w:rsidR="00143229">
        <w:rPr>
          <w:rFonts w:hint="cs"/>
          <w:rtl/>
        </w:rPr>
        <w:t>עובדות כתב האישום</w:t>
      </w:r>
      <w:r w:rsidR="002F4719">
        <w:rPr>
          <w:rFonts w:hint="cs"/>
          <w:rtl/>
        </w:rPr>
        <w:t xml:space="preserve">, </w:t>
      </w:r>
      <w:r w:rsidR="00143229">
        <w:rPr>
          <w:rFonts w:hint="cs"/>
          <w:rtl/>
        </w:rPr>
        <w:t>כי אין בהן משום קלון.</w:t>
      </w:r>
      <w:r w:rsidR="002F4719">
        <w:rPr>
          <w:rFonts w:hint="cs"/>
          <w:rtl/>
        </w:rPr>
        <w:t xml:space="preserve"> </w:t>
      </w:r>
    </w:p>
    <w:p w14:paraId="7BFA5E9C" w14:textId="77777777" w:rsidR="00143229" w:rsidRDefault="00143229" w:rsidP="00143229">
      <w:pPr>
        <w:rPr>
          <w:rtl/>
        </w:rPr>
      </w:pPr>
    </w:p>
    <w:p w14:paraId="4F0C8FCA" w14:textId="77777777" w:rsidR="000349B0" w:rsidRDefault="007F6B61" w:rsidP="00143229">
      <w:pPr>
        <w:rPr>
          <w:rtl/>
        </w:rPr>
      </w:pPr>
      <w:r>
        <w:rPr>
          <w:rFonts w:hint="cs"/>
          <w:rtl/>
        </w:rPr>
        <w:t>בהקשר זה יצוין, כי ב</w:t>
      </w:r>
      <w:r w:rsidR="005E1392">
        <w:rPr>
          <w:rFonts w:hint="cs"/>
          <w:rtl/>
        </w:rPr>
        <w:t>הסתמכות על שיקול הדעת הפרטני שמפעיל יושב ראש ועדת הבחירות כדי לקבוע את החומרה הציבורית של המעשה הפלילי של המועמד לתפקיד ציבורי, נסמך תזכיר החוק על הסדרים קרובים הקבועים כבר היום בחוק</w:t>
      </w:r>
      <w:r w:rsidR="0017045B">
        <w:rPr>
          <w:rFonts w:hint="cs"/>
          <w:rtl/>
        </w:rPr>
        <w:t>-</w:t>
      </w:r>
      <w:r w:rsidR="005E1392">
        <w:rPr>
          <w:rFonts w:hint="cs"/>
          <w:rtl/>
        </w:rPr>
        <w:t>יסוד</w:t>
      </w:r>
      <w:r w:rsidR="0017045B">
        <w:rPr>
          <w:rFonts w:hint="cs"/>
          <w:rtl/>
        </w:rPr>
        <w:t xml:space="preserve">: הממשלה </w:t>
      </w:r>
      <w:r w:rsidR="005E1392">
        <w:rPr>
          <w:rFonts w:hint="cs"/>
          <w:rtl/>
        </w:rPr>
        <w:t xml:space="preserve">ובחוק-יסוד: הכנסת. </w:t>
      </w:r>
      <w:r w:rsidR="005E1392" w:rsidRPr="00143229">
        <w:rPr>
          <w:rFonts w:hint="eastAsia"/>
          <w:rtl/>
        </w:rPr>
        <w:t>נזכיר</w:t>
      </w:r>
      <w:r w:rsidR="005E1392">
        <w:rPr>
          <w:rFonts w:hint="cs"/>
          <w:rtl/>
        </w:rPr>
        <w:t xml:space="preserve"> כי סעיף 6 לחוק-יסוד: הממשלה </w:t>
      </w:r>
      <w:r w:rsidR="00F00352">
        <w:rPr>
          <w:rFonts w:hint="cs"/>
          <w:rtl/>
        </w:rPr>
        <w:t>קובע תנאי כשירות לכהונה במשרת שר בממשלה ולפיו מי שהורשע בפלילים ונגזר עליו עונש מאסר לא יהיה כש</w:t>
      </w:r>
      <w:r w:rsidR="0017045B">
        <w:rPr>
          <w:rFonts w:hint="cs"/>
          <w:rtl/>
        </w:rPr>
        <w:t>י</w:t>
      </w:r>
      <w:r w:rsidR="00F00352">
        <w:rPr>
          <w:rFonts w:hint="cs"/>
          <w:rtl/>
        </w:rPr>
        <w:t>ר לכהן לתקופה מסוימת.</w:t>
      </w:r>
      <w:r w:rsidR="0017045B">
        <w:rPr>
          <w:rFonts w:hint="cs"/>
          <w:rtl/>
        </w:rPr>
        <w:t xml:space="preserve"> סעיף 6 לחוק-יסוד: הכנסת שולל, לתקופה מסוימת, את כשירותו של אדם להבחר לכנסת אם נידון בפסק דין סופי לעונש מאסר בפועל העולה על שלושה חודשים (ואם הורשע בעבירות חמורות מסוימות ונידון לשבע שנות מאסר, תהיה תקופת אי הכשירות כפולה). בשני ההסדרים </w:t>
      </w:r>
      <w:r w:rsidR="000349B0">
        <w:rPr>
          <w:rFonts w:hint="cs"/>
          <w:rtl/>
        </w:rPr>
        <w:t xml:space="preserve">קבע המחוקק </w:t>
      </w:r>
      <w:r w:rsidR="0017045B">
        <w:rPr>
          <w:rFonts w:hint="cs"/>
          <w:rtl/>
        </w:rPr>
        <w:t>כי התנאי הפוסל לא יחול אם "</w:t>
      </w:r>
      <w:r w:rsidR="0017045B" w:rsidRPr="0017045B">
        <w:rPr>
          <w:rtl/>
        </w:rPr>
        <w:t>קבע יושב ראש ועדת הבחירות המרכזית כי אין עם העבירה שבה הורשע, בנסיבות הענין, משום קלו</w:t>
      </w:r>
      <w:r w:rsidR="0017045B">
        <w:rPr>
          <w:rFonts w:hint="cs"/>
          <w:rtl/>
        </w:rPr>
        <w:t>ן</w:t>
      </w:r>
      <w:r w:rsidR="0017045B" w:rsidRPr="0017045B">
        <w:t>".</w:t>
      </w:r>
      <w:r w:rsidR="0017045B">
        <w:rPr>
          <w:rFonts w:hint="cs"/>
          <w:rtl/>
        </w:rPr>
        <w:t xml:space="preserve"> </w:t>
      </w:r>
      <w:r w:rsidR="00F00352">
        <w:rPr>
          <w:rFonts w:hint="cs"/>
          <w:rtl/>
        </w:rPr>
        <w:t xml:space="preserve"> </w:t>
      </w:r>
      <w:r w:rsidR="0017045B">
        <w:rPr>
          <w:rFonts w:hint="cs"/>
          <w:rtl/>
        </w:rPr>
        <w:t xml:space="preserve">והכל  זולת אם קבע כבר בית המשפט עצמו כי יש עם העבירה משום קלון בנסיבות הענין. </w:t>
      </w:r>
    </w:p>
    <w:p w14:paraId="2FF521CF" w14:textId="4C303765" w:rsidR="0017045B" w:rsidRDefault="00BF6BBA" w:rsidP="001B5AFB">
      <w:pPr>
        <w:rPr>
          <w:rtl/>
        </w:rPr>
      </w:pPr>
      <w:r>
        <w:rPr>
          <w:rFonts w:hint="cs"/>
          <w:rtl/>
        </w:rPr>
        <w:t xml:space="preserve">תזכיר החוק מאמץ </w:t>
      </w:r>
      <w:r w:rsidR="000349B0">
        <w:rPr>
          <w:rFonts w:hint="cs"/>
          <w:rtl/>
        </w:rPr>
        <w:t xml:space="preserve">איפוא </w:t>
      </w:r>
      <w:r>
        <w:rPr>
          <w:rFonts w:hint="cs"/>
          <w:rtl/>
        </w:rPr>
        <w:t xml:space="preserve">רעיון שבבסיס ההסדרים הקיימים. המודל משלב אם כן בין </w:t>
      </w:r>
      <w:r w:rsidR="0017045B">
        <w:rPr>
          <w:rFonts w:hint="cs"/>
          <w:rtl/>
        </w:rPr>
        <w:t>קביעה</w:t>
      </w:r>
      <w:r w:rsidR="001B5AFB">
        <w:rPr>
          <w:rFonts w:hint="cs"/>
          <w:rtl/>
        </w:rPr>
        <w:t xml:space="preserve"> לגבי</w:t>
      </w:r>
      <w:r w:rsidR="0017045B">
        <w:rPr>
          <w:rFonts w:hint="cs"/>
          <w:rtl/>
        </w:rPr>
        <w:t xml:space="preserve"> </w:t>
      </w:r>
      <w:r>
        <w:rPr>
          <w:rFonts w:hint="cs"/>
          <w:rtl/>
        </w:rPr>
        <w:t>חומרת</w:t>
      </w:r>
      <w:r w:rsidR="0017045B">
        <w:rPr>
          <w:rFonts w:hint="cs"/>
          <w:rtl/>
        </w:rPr>
        <w:t xml:space="preserve"> העבירה המיוחסת, </w:t>
      </w:r>
      <w:r>
        <w:rPr>
          <w:rFonts w:hint="cs"/>
          <w:rtl/>
        </w:rPr>
        <w:t xml:space="preserve">לבין </w:t>
      </w:r>
      <w:r w:rsidR="0017045B">
        <w:rPr>
          <w:rFonts w:hint="cs"/>
          <w:rtl/>
        </w:rPr>
        <w:t>האפשרות ש</w:t>
      </w:r>
      <w:r>
        <w:rPr>
          <w:rFonts w:hint="cs"/>
          <w:rtl/>
        </w:rPr>
        <w:t xml:space="preserve">ל </w:t>
      </w:r>
      <w:r w:rsidR="0017045B">
        <w:rPr>
          <w:rFonts w:hint="cs"/>
          <w:rtl/>
        </w:rPr>
        <w:t>בחינה פרטנית של נסיבות המקרה</w:t>
      </w:r>
      <w:r>
        <w:rPr>
          <w:rFonts w:hint="cs"/>
          <w:rtl/>
        </w:rPr>
        <w:t xml:space="preserve"> בידי יושב ראש ועדת הבחירות. שילוב כזה הוא חיוני כדי להבטיח איזון הולם בין השיקולים המושפעים מכלל הפסילה. במלים אחרות, במקרים </w:t>
      </w:r>
      <w:r w:rsidR="00B31066">
        <w:rPr>
          <w:rFonts w:hint="cs"/>
          <w:rtl/>
        </w:rPr>
        <w:t xml:space="preserve">שבהם </w:t>
      </w:r>
      <w:r w:rsidR="000349B0">
        <w:rPr>
          <w:rFonts w:hint="cs"/>
          <w:rtl/>
        </w:rPr>
        <w:t>ייקבע</w:t>
      </w:r>
      <w:r w:rsidR="00B31066">
        <w:rPr>
          <w:rFonts w:hint="cs"/>
          <w:rtl/>
        </w:rPr>
        <w:t xml:space="preserve"> כי אף אם יוכח לבסוף בבית המשפט שהעבירה בוצעה</w:t>
      </w:r>
      <w:r w:rsidR="0005577C">
        <w:rPr>
          <w:rFonts w:hint="cs"/>
          <w:rtl/>
        </w:rPr>
        <w:t xml:space="preserve"> לפי העובדות המתוארות בכתב האישום</w:t>
      </w:r>
      <w:r w:rsidR="00B31066">
        <w:rPr>
          <w:rFonts w:hint="cs"/>
          <w:rtl/>
        </w:rPr>
        <w:t xml:space="preserve">, </w:t>
      </w:r>
      <w:r w:rsidR="00440A5A">
        <w:rPr>
          <w:rFonts w:hint="cs"/>
          <w:rtl/>
        </w:rPr>
        <w:t xml:space="preserve">ולמרות החומרה של העונש המרבי הקבוע לה, </w:t>
      </w:r>
      <w:r w:rsidR="0017045B">
        <w:rPr>
          <w:rFonts w:hint="cs"/>
          <w:rtl/>
        </w:rPr>
        <w:t>אין בביצוע</w:t>
      </w:r>
      <w:r w:rsidR="00B31066">
        <w:rPr>
          <w:rFonts w:hint="cs"/>
          <w:rtl/>
        </w:rPr>
        <w:t xml:space="preserve">ה, </w:t>
      </w:r>
      <w:r w:rsidR="00B31066" w:rsidRPr="0005577C">
        <w:rPr>
          <w:rFonts w:hint="cs"/>
          <w:rtl/>
        </w:rPr>
        <w:t>בנסיבות הענין</w:t>
      </w:r>
      <w:r w:rsidR="00B31066">
        <w:rPr>
          <w:rFonts w:hint="cs"/>
          <w:rtl/>
        </w:rPr>
        <w:t>,</w:t>
      </w:r>
      <w:r w:rsidR="0017045B">
        <w:rPr>
          <w:rFonts w:hint="cs"/>
          <w:rtl/>
        </w:rPr>
        <w:t xml:space="preserve"> משום </w:t>
      </w:r>
      <w:r w:rsidR="0005577C">
        <w:rPr>
          <w:rFonts w:hint="cs"/>
          <w:rtl/>
        </w:rPr>
        <w:t>קלון</w:t>
      </w:r>
      <w:r w:rsidR="0017045B">
        <w:rPr>
          <w:rFonts w:hint="cs"/>
          <w:rtl/>
        </w:rPr>
        <w:t xml:space="preserve">, </w:t>
      </w:r>
      <w:r w:rsidR="00B31066">
        <w:rPr>
          <w:rFonts w:hint="cs"/>
          <w:rtl/>
        </w:rPr>
        <w:t xml:space="preserve">לא </w:t>
      </w:r>
      <w:r w:rsidR="0005577C">
        <w:rPr>
          <w:rFonts w:hint="cs"/>
          <w:rtl/>
        </w:rPr>
        <w:t>יהיה מקום לקבוע כי הנאמנות הציבורית נפגעת כתוצאה מביצוע מעשה לא ראוי, במידה המצדיקה פגיעה בזכות לבחור ולהיבחר.</w:t>
      </w:r>
    </w:p>
    <w:p w14:paraId="6A1ECB7A" w14:textId="77777777" w:rsidR="007F6B61" w:rsidRDefault="007F6B61" w:rsidP="00440A5A">
      <w:pPr>
        <w:rPr>
          <w:rtl/>
        </w:rPr>
      </w:pPr>
    </w:p>
    <w:p w14:paraId="3A70F9E3" w14:textId="41370DAD" w:rsidR="001332AA" w:rsidRDefault="00511173" w:rsidP="00FF791A">
      <w:pPr>
        <w:rPr>
          <w:rtl/>
        </w:rPr>
      </w:pPr>
      <w:r>
        <w:rPr>
          <w:rFonts w:hint="cs"/>
          <w:rtl/>
        </w:rPr>
        <w:t xml:space="preserve">להשלמת התמונה יצוין כי הרעיון המרכזי שמבטא תזכיר החוק </w:t>
      </w:r>
      <w:r w:rsidR="00F2738E">
        <w:rPr>
          <w:rFonts w:hint="cs"/>
          <w:rtl/>
        </w:rPr>
        <w:t xml:space="preserve">משתלב </w:t>
      </w:r>
      <w:r w:rsidR="007F6B61">
        <w:rPr>
          <w:rFonts w:hint="cs"/>
          <w:rtl/>
        </w:rPr>
        <w:t>עם האופן שבו התפתח</w:t>
      </w:r>
      <w:r w:rsidR="00F2738E">
        <w:rPr>
          <w:rFonts w:hint="cs"/>
          <w:rtl/>
        </w:rPr>
        <w:t xml:space="preserve"> הדין הנוהג ביחס להגבלות על כהונה בשל פגם ערכי שדבק</w:t>
      </w:r>
      <w:r>
        <w:rPr>
          <w:rFonts w:hint="cs"/>
          <w:rtl/>
        </w:rPr>
        <w:t xml:space="preserve"> </w:t>
      </w:r>
      <w:r w:rsidR="00F2738E">
        <w:rPr>
          <w:rFonts w:hint="cs"/>
          <w:rtl/>
        </w:rPr>
        <w:t>בנבחר הציבור. הוראות חוק-יסוד: הממשלה וחוק-יסוד: הכנסת אשר מונע</w:t>
      </w:r>
      <w:r w:rsidR="000349B0">
        <w:rPr>
          <w:rFonts w:hint="cs"/>
          <w:rtl/>
        </w:rPr>
        <w:t>ות</w:t>
      </w:r>
      <w:r w:rsidR="00F2738E">
        <w:rPr>
          <w:rFonts w:hint="cs"/>
          <w:rtl/>
        </w:rPr>
        <w:t xml:space="preserve"> כניסתם לתפקיד של שר או חבר הכנסת בשל הרשעה בפלילים, נזכרו לעיל. בצד זאת, על פי ההלכה הוותיקה שפסק בית המשפט העליון בראשית שנות התשעים, </w:t>
      </w:r>
      <w:r w:rsidR="00045639">
        <w:rPr>
          <w:rFonts w:hint="cs"/>
          <w:rtl/>
        </w:rPr>
        <w:t xml:space="preserve">ובהתאם לפרקטיקה שהשתרשה מאז, </w:t>
      </w:r>
      <w:r w:rsidR="00F2738E">
        <w:rPr>
          <w:rFonts w:hint="cs"/>
          <w:rtl/>
        </w:rPr>
        <w:t xml:space="preserve">לא יוכל למעשה לכהן במשרת שר מי שנגדו תלוי ועומד כתב אישום, אם בנסיבות הענין יש חשש שהמשך הכהונה ישליך על מעמדה של הממשלה בעיני הציבור, על יכולתה להנהיג ולשמש דוגמא, על אמון הציבור בשיטת הממשל ובחובות של האזרח וכיוצא באלה. </w:t>
      </w:r>
      <w:r w:rsidR="004F6ACD">
        <w:rPr>
          <w:rFonts w:hint="cs"/>
          <w:rtl/>
        </w:rPr>
        <w:t xml:space="preserve">בנוסף, הכנסת מוסמכת להשעות מכהונתו את יושב ראש </w:t>
      </w:r>
      <w:r w:rsidR="004F6ACD">
        <w:rPr>
          <w:rFonts w:hint="cs"/>
          <w:rtl/>
        </w:rPr>
        <w:lastRenderedPageBreak/>
        <w:t>הכנסת, או סגן ליושב הראש, אם הוגש נגדו כתב אישום</w:t>
      </w:r>
      <w:r w:rsidR="00A30136">
        <w:rPr>
          <w:rFonts w:hint="cs"/>
          <w:rtl/>
        </w:rPr>
        <w:t xml:space="preserve">, אף אם קבעה הכנסת כי תהיה לו חסינות בפני דין פלילי (סעיף 7 לחוק הכנסת, תשנ"ד-1994. התזכיר </w:t>
      </w:r>
      <w:r w:rsidR="00045639">
        <w:rPr>
          <w:rFonts w:hint="cs"/>
          <w:rtl/>
        </w:rPr>
        <w:t>משתלב וממשיך</w:t>
      </w:r>
      <w:r w:rsidR="00A30136">
        <w:rPr>
          <w:rFonts w:hint="cs"/>
          <w:rtl/>
        </w:rPr>
        <w:t xml:space="preserve"> מגמה זו. כך בשלטון המרכזי</w:t>
      </w:r>
      <w:r w:rsidR="00045639">
        <w:rPr>
          <w:rFonts w:hint="cs"/>
          <w:rtl/>
        </w:rPr>
        <w:t>,</w:t>
      </w:r>
      <w:r w:rsidR="003B5CD5">
        <w:rPr>
          <w:rFonts w:hint="cs"/>
          <w:rtl/>
        </w:rPr>
        <w:t xml:space="preserve"> והדים לכך ניתן למצוא גם בשלטון </w:t>
      </w:r>
      <w:r w:rsidR="00A30136">
        <w:rPr>
          <w:rFonts w:hint="cs"/>
          <w:rtl/>
        </w:rPr>
        <w:t>המקומי</w:t>
      </w:r>
      <w:r w:rsidR="003B5CD5">
        <w:rPr>
          <w:rFonts w:hint="cs"/>
          <w:rtl/>
        </w:rPr>
        <w:t xml:space="preserve">. </w:t>
      </w:r>
      <w:r w:rsidR="00AE156D">
        <w:rPr>
          <w:rFonts w:hint="cs"/>
          <w:rtl/>
        </w:rPr>
        <w:t xml:space="preserve">כאמור, </w:t>
      </w:r>
      <w:r w:rsidR="00045639">
        <w:rPr>
          <w:rFonts w:hint="cs"/>
          <w:rtl/>
        </w:rPr>
        <w:t xml:space="preserve">בהקשר זה </w:t>
      </w:r>
      <w:r w:rsidR="003B5CD5">
        <w:rPr>
          <w:rFonts w:hint="cs"/>
          <w:rtl/>
        </w:rPr>
        <w:t xml:space="preserve">דווקא </w:t>
      </w:r>
      <w:r w:rsidR="00A30136">
        <w:rPr>
          <w:rFonts w:hint="cs"/>
          <w:rtl/>
        </w:rPr>
        <w:t>בקשר למשרה של ראש רשות מקומית</w:t>
      </w:r>
      <w:r w:rsidR="003B5CD5">
        <w:rPr>
          <w:rFonts w:hint="cs"/>
          <w:rtl/>
        </w:rPr>
        <w:t>,</w:t>
      </w:r>
      <w:r w:rsidR="00A30136">
        <w:rPr>
          <w:rFonts w:hint="cs"/>
          <w:rtl/>
        </w:rPr>
        <w:t xml:space="preserve"> הנבחר בבחירות ישירות</w:t>
      </w:r>
      <w:r w:rsidR="003B5CD5">
        <w:rPr>
          <w:rFonts w:hint="cs"/>
          <w:rtl/>
        </w:rPr>
        <w:t xml:space="preserve"> בידי התושבים</w:t>
      </w:r>
      <w:r w:rsidR="00A30136">
        <w:rPr>
          <w:rFonts w:hint="cs"/>
          <w:rtl/>
        </w:rPr>
        <w:t xml:space="preserve">, קבעה הכנסת רף מחמיר המבוסס על שלב האישום. </w:t>
      </w:r>
      <w:r w:rsidR="00610438" w:rsidRPr="00A30136">
        <w:rPr>
          <w:rtl/>
        </w:rPr>
        <w:t xml:space="preserve">חוק הרשויות המקומיות (בחירת ראש הרשות וסגניו וכהונתם), תשל"ה-1975 מעגן </w:t>
      </w:r>
      <w:r w:rsidR="00610438" w:rsidRPr="00A30136">
        <w:rPr>
          <w:rFonts w:hint="eastAsia"/>
          <w:rtl/>
        </w:rPr>
        <w:t>הסדר</w:t>
      </w:r>
      <w:r w:rsidR="00610438" w:rsidRPr="00A30136">
        <w:rPr>
          <w:rtl/>
        </w:rPr>
        <w:t xml:space="preserve"> </w:t>
      </w:r>
      <w:r w:rsidR="00610438" w:rsidRPr="00A30136">
        <w:rPr>
          <w:rFonts w:hint="eastAsia"/>
          <w:rtl/>
        </w:rPr>
        <w:t>שמסמיך</w:t>
      </w:r>
      <w:r w:rsidR="00610438" w:rsidRPr="00A30136">
        <w:rPr>
          <w:rtl/>
        </w:rPr>
        <w:t xml:space="preserve"> ועדה </w:t>
      </w:r>
      <w:r w:rsidR="00610438" w:rsidRPr="00A30136">
        <w:rPr>
          <w:rFonts w:hint="eastAsia"/>
          <w:rtl/>
        </w:rPr>
        <w:t>יעודית</w:t>
      </w:r>
      <w:r w:rsidR="00610438" w:rsidRPr="00A30136">
        <w:rPr>
          <w:rtl/>
        </w:rPr>
        <w:t xml:space="preserve"> להחליט אם נכון להשעות מתפקידו ראש רשות מקומית, בשל כתב אישום שהוגש נגדו. הוועדה רשאית להחליט על השעיה אם השתכנעה כי "מפאת חומרת האישומים המיוחסים לו בכתב האישום אין הוא ראוי לכהן כראש הרש</w:t>
      </w:r>
      <w:r w:rsidR="00610438" w:rsidRPr="00A30136">
        <w:rPr>
          <w:rFonts w:hint="eastAsia"/>
          <w:rtl/>
        </w:rPr>
        <w:t>ות</w:t>
      </w:r>
      <w:r w:rsidR="00610438" w:rsidRPr="00A30136">
        <w:rPr>
          <w:rtl/>
        </w:rPr>
        <w:t xml:space="preserve">" </w:t>
      </w:r>
      <w:r w:rsidR="00610438" w:rsidRPr="00A30136">
        <w:rPr>
          <w:rFonts w:hint="eastAsia"/>
          <w:rtl/>
        </w:rPr>
        <w:t>וזאת</w:t>
      </w:r>
      <w:r w:rsidR="00610438" w:rsidRPr="00A30136">
        <w:rPr>
          <w:rtl/>
        </w:rPr>
        <w:t xml:space="preserve"> </w:t>
      </w:r>
      <w:r w:rsidR="00610438" w:rsidRPr="00A30136">
        <w:rPr>
          <w:rFonts w:hint="eastAsia"/>
          <w:rtl/>
        </w:rPr>
        <w:t>לאחר</w:t>
      </w:r>
      <w:r w:rsidR="00610438" w:rsidRPr="00A30136">
        <w:rPr>
          <w:rtl/>
        </w:rPr>
        <w:t xml:space="preserve"> </w:t>
      </w:r>
      <w:r w:rsidR="00610438" w:rsidRPr="00A30136">
        <w:rPr>
          <w:rFonts w:hint="eastAsia"/>
          <w:rtl/>
        </w:rPr>
        <w:t>ששקלה</w:t>
      </w:r>
      <w:r w:rsidR="00610438" w:rsidRPr="00A30136">
        <w:rPr>
          <w:rtl/>
        </w:rPr>
        <w:t xml:space="preserve"> </w:t>
      </w:r>
      <w:r w:rsidR="00610438" w:rsidRPr="00A30136">
        <w:rPr>
          <w:rFonts w:hint="eastAsia"/>
          <w:rtl/>
        </w:rPr>
        <w:t>מארג</w:t>
      </w:r>
      <w:r w:rsidR="00610438" w:rsidRPr="00A30136">
        <w:rPr>
          <w:rtl/>
        </w:rPr>
        <w:t xml:space="preserve"> </w:t>
      </w:r>
      <w:r w:rsidR="00610438" w:rsidRPr="00A30136">
        <w:rPr>
          <w:rFonts w:hint="eastAsia"/>
          <w:rtl/>
        </w:rPr>
        <w:t>של</w:t>
      </w:r>
      <w:r w:rsidR="00610438" w:rsidRPr="00A30136">
        <w:rPr>
          <w:rtl/>
        </w:rPr>
        <w:t xml:space="preserve"> </w:t>
      </w:r>
      <w:r w:rsidR="00610438" w:rsidRPr="00A30136">
        <w:rPr>
          <w:rFonts w:hint="eastAsia"/>
          <w:rtl/>
        </w:rPr>
        <w:t>שיקולים</w:t>
      </w:r>
      <w:r w:rsidR="00610438" w:rsidRPr="00A30136">
        <w:rPr>
          <w:rtl/>
        </w:rPr>
        <w:t xml:space="preserve"> </w:t>
      </w:r>
      <w:r w:rsidR="00610438" w:rsidRPr="00A30136">
        <w:rPr>
          <w:rFonts w:hint="eastAsia"/>
          <w:rtl/>
        </w:rPr>
        <w:t>המנויים</w:t>
      </w:r>
      <w:r w:rsidR="00610438" w:rsidRPr="00A30136">
        <w:rPr>
          <w:rtl/>
        </w:rPr>
        <w:t xml:space="preserve"> </w:t>
      </w:r>
      <w:r w:rsidR="00610438" w:rsidRPr="00A30136">
        <w:rPr>
          <w:rFonts w:hint="eastAsia"/>
          <w:rtl/>
        </w:rPr>
        <w:t>בחוק</w:t>
      </w:r>
      <w:r w:rsidR="00610438" w:rsidRPr="00A30136">
        <w:rPr>
          <w:rtl/>
        </w:rPr>
        <w:t>.</w:t>
      </w:r>
      <w:r w:rsidR="001332AA">
        <w:rPr>
          <w:rFonts w:hint="cs"/>
          <w:rtl/>
        </w:rPr>
        <w:t xml:space="preserve"> החוק המוצע לא מבקש לייצר הסדר שלילי ביחס להוראות דין האחרות ה</w:t>
      </w:r>
      <w:r w:rsidR="00206E3B">
        <w:rPr>
          <w:rFonts w:hint="cs"/>
          <w:rtl/>
        </w:rPr>
        <w:t>עוסקות בכשירות, אלא להוסיף עליהן</w:t>
      </w:r>
      <w:r w:rsidR="001332AA">
        <w:rPr>
          <w:rFonts w:hint="cs"/>
          <w:rtl/>
        </w:rPr>
        <w:t>.</w:t>
      </w:r>
    </w:p>
    <w:p w14:paraId="1B2F48E4" w14:textId="77777777" w:rsidR="00610438" w:rsidRDefault="00610438" w:rsidP="00610438">
      <w:pPr>
        <w:rPr>
          <w:rtl/>
        </w:rPr>
      </w:pPr>
    </w:p>
    <w:p w14:paraId="000C1AFD" w14:textId="77777777" w:rsidR="00346EE8" w:rsidRPr="00164EB4" w:rsidRDefault="00346EE8" w:rsidP="00346EE8">
      <w:pPr>
        <w:pStyle w:val="4"/>
        <w:numPr>
          <w:ilvl w:val="0"/>
          <w:numId w:val="2"/>
        </w:numPr>
      </w:pPr>
      <w:r w:rsidRPr="00164EB4">
        <w:rPr>
          <w:rFonts w:hint="cs"/>
          <w:rtl/>
        </w:rPr>
        <w:t>עיקרי החוק המוצע</w:t>
      </w:r>
    </w:p>
    <w:p w14:paraId="6B740C50" w14:textId="77777777" w:rsidR="00AE156D" w:rsidRDefault="002B00FC" w:rsidP="00AE156D">
      <w:r>
        <w:rPr>
          <w:rFonts w:hint="cs"/>
          <w:rtl/>
        </w:rPr>
        <w:t>חבר הכנסת שנגדו תלוי ועומד כתב אישום לא יהיה כשיר להרכיב את הממשלה א</w:t>
      </w:r>
      <w:r w:rsidRPr="00AE156D">
        <w:rPr>
          <w:rFonts w:hint="cs"/>
          <w:rtl/>
        </w:rPr>
        <w:t xml:space="preserve">ם האישום הוא בעבירה שהעונש הקבוע לה </w:t>
      </w:r>
      <w:r w:rsidR="00993AED" w:rsidRPr="00AE156D">
        <w:rPr>
          <w:rFonts w:hint="cs"/>
          <w:rtl/>
        </w:rPr>
        <w:t>הוא שלוש שנות מאסר או יותר</w:t>
      </w:r>
      <w:r w:rsidR="00AE156D">
        <w:rPr>
          <w:rFonts w:hint="cs"/>
          <w:rtl/>
        </w:rPr>
        <w:t xml:space="preserve">. זאת </w:t>
      </w:r>
      <w:r w:rsidRPr="00AE156D">
        <w:rPr>
          <w:rFonts w:hint="cs"/>
          <w:rtl/>
        </w:rPr>
        <w:t>זולת אם קבע יושב ראש ועדת</w:t>
      </w:r>
      <w:r>
        <w:rPr>
          <w:rFonts w:hint="cs"/>
          <w:rtl/>
        </w:rPr>
        <w:t xml:space="preserve"> הבחירות המרכזית, על יסוד</w:t>
      </w:r>
      <w:r w:rsidR="007F6B61">
        <w:rPr>
          <w:rFonts w:hint="cs"/>
          <w:rtl/>
        </w:rPr>
        <w:t xml:space="preserve"> ה</w:t>
      </w:r>
      <w:r w:rsidR="00AE156D">
        <w:rPr>
          <w:rFonts w:hint="cs"/>
          <w:rtl/>
        </w:rPr>
        <w:t>עובדות</w:t>
      </w:r>
      <w:r w:rsidR="007F6B61">
        <w:rPr>
          <w:rFonts w:hint="cs"/>
          <w:rtl/>
        </w:rPr>
        <w:t xml:space="preserve"> המפורטות</w:t>
      </w:r>
      <w:r>
        <w:rPr>
          <w:rFonts w:hint="cs"/>
          <w:rtl/>
        </w:rPr>
        <w:t xml:space="preserve"> בכתב האישום, כי בנסיבות הענין</w:t>
      </w:r>
      <w:r w:rsidR="00AE156D">
        <w:rPr>
          <w:rFonts w:hint="cs"/>
          <w:rtl/>
        </w:rPr>
        <w:t xml:space="preserve"> אין בעבירה משום קלון. </w:t>
      </w:r>
    </w:p>
    <w:p w14:paraId="5E093FF0" w14:textId="77777777" w:rsidR="002B00FC" w:rsidRDefault="002B00FC" w:rsidP="002B00FC">
      <w:pPr>
        <w:rPr>
          <w:rtl/>
        </w:rPr>
      </w:pPr>
    </w:p>
    <w:p w14:paraId="23E6D0CD" w14:textId="77777777" w:rsidR="002B00FC" w:rsidRDefault="002B00FC" w:rsidP="004E59DA">
      <w:pPr>
        <w:rPr>
          <w:rtl/>
        </w:rPr>
      </w:pPr>
      <w:r>
        <w:rPr>
          <w:rFonts w:hint="cs"/>
          <w:rtl/>
        </w:rPr>
        <w:t xml:space="preserve">הגבלה זו תחול על כל המצבים שבהם קמה ממשלה חדשה </w:t>
      </w:r>
      <w:r>
        <w:rPr>
          <w:rtl/>
        </w:rPr>
        <w:t>–</w:t>
      </w:r>
      <w:r>
        <w:rPr>
          <w:rFonts w:hint="cs"/>
          <w:rtl/>
        </w:rPr>
        <w:t xml:space="preserve"> הטלת התפקיד בידי נשיא המדינה, בין בעקבות הבחירות לכנסת ובין במהלך כהונת הכנסת בשל העילות הקבועות בחוק היסוד להרכבת ממשלה חדשה; וכן הבעת אי אמון בממשלה והצגת ממשלה אחרת תחתיה. כמו כן תחול ההגבלה על השבעתו כראש ממשלה חלופי של חבר הכנסת שנאשם כאמור.</w:t>
      </w:r>
    </w:p>
    <w:p w14:paraId="68E5108D" w14:textId="77777777" w:rsidR="002B00FC" w:rsidRDefault="002B00FC" w:rsidP="002B00FC">
      <w:pPr>
        <w:rPr>
          <w:rtl/>
        </w:rPr>
      </w:pPr>
    </w:p>
    <w:p w14:paraId="36B8E763" w14:textId="77777777" w:rsidR="001372EA" w:rsidRDefault="002B00FC" w:rsidP="001372EA">
      <w:pPr>
        <w:rPr>
          <w:rtl/>
        </w:rPr>
      </w:pPr>
      <w:r>
        <w:rPr>
          <w:rFonts w:hint="cs"/>
          <w:rtl/>
        </w:rPr>
        <w:t xml:space="preserve">במצבים שבהם העילה להרכבת הממשלה החדשה היא </w:t>
      </w:r>
      <w:r w:rsidR="00D66624">
        <w:rPr>
          <w:rFonts w:hint="cs"/>
          <w:rtl/>
        </w:rPr>
        <w:t xml:space="preserve">בחירת כנסת חדשה, יהיה </w:t>
      </w:r>
      <w:r>
        <w:rPr>
          <w:rFonts w:hint="cs"/>
          <w:rtl/>
        </w:rPr>
        <w:t>המועד הקובע לענין ההכרעה כי נגד חבר הכנסת תלוי ועומד כתב אישום</w:t>
      </w:r>
      <w:r w:rsidR="00D66624">
        <w:rPr>
          <w:rFonts w:hint="cs"/>
          <w:rtl/>
        </w:rPr>
        <w:t xml:space="preserve"> </w:t>
      </w:r>
      <w:r w:rsidR="00D66624" w:rsidRPr="00D66624">
        <w:rPr>
          <w:rFonts w:hint="cs"/>
          <w:rtl/>
        </w:rPr>
        <w:t>45 ימים לפני היום הראשון להגשת רשימות המועמדים לכנסת.</w:t>
      </w:r>
      <w:r w:rsidR="00D66624">
        <w:rPr>
          <w:rFonts w:hint="cs"/>
          <w:rtl/>
        </w:rPr>
        <w:t xml:space="preserve"> </w:t>
      </w:r>
      <w:r w:rsidR="0017030D">
        <w:rPr>
          <w:rFonts w:hint="cs"/>
          <w:rtl/>
        </w:rPr>
        <w:t xml:space="preserve">זאת על מנת ליצור ודאות במערכת הפוליטית באשר להשלכות של בחירה במועמד או ברשימת מועמדים מסויימת. </w:t>
      </w:r>
      <w:r w:rsidR="00D66624">
        <w:rPr>
          <w:rFonts w:hint="cs"/>
          <w:rtl/>
        </w:rPr>
        <w:t xml:space="preserve">בשאר המצבים </w:t>
      </w:r>
      <w:r w:rsidR="00D66624" w:rsidRPr="001372EA">
        <w:rPr>
          <w:rFonts w:hint="cs"/>
          <w:rtl/>
        </w:rPr>
        <w:t>יהיה המועד הקובע המועד שבו מוטל התפקיד להרכיב את הממשלה</w:t>
      </w:r>
      <w:r w:rsidR="001372EA" w:rsidRPr="001372EA">
        <w:rPr>
          <w:rFonts w:hint="cs"/>
          <w:rtl/>
        </w:rPr>
        <w:t xml:space="preserve">, </w:t>
      </w:r>
      <w:r w:rsidR="00D66624" w:rsidRPr="001372EA">
        <w:rPr>
          <w:rFonts w:hint="cs"/>
          <w:rtl/>
        </w:rPr>
        <w:t>המועד שבו מוגשת ההצעה להביע אי האמון בממשלה</w:t>
      </w:r>
      <w:r w:rsidR="002D706D" w:rsidRPr="001372EA">
        <w:rPr>
          <w:rFonts w:hint="cs"/>
          <w:rtl/>
        </w:rPr>
        <w:t>.</w:t>
      </w:r>
      <w:r w:rsidR="002D706D">
        <w:rPr>
          <w:rFonts w:hint="cs"/>
          <w:rtl/>
        </w:rPr>
        <w:t xml:space="preserve"> </w:t>
      </w:r>
      <w:r w:rsidR="001372EA">
        <w:rPr>
          <w:rFonts w:hint="cs"/>
          <w:rtl/>
        </w:rPr>
        <w:t>ולגבי ראש הממשלה החלופי בממשלת חילופים, במועד כינון הממשלה שבה הוא עתיד לכהן.</w:t>
      </w:r>
    </w:p>
    <w:p w14:paraId="6E918599" w14:textId="77777777" w:rsidR="002B00FC" w:rsidRDefault="002B00FC" w:rsidP="001372EA">
      <w:pPr>
        <w:rPr>
          <w:rtl/>
        </w:rPr>
      </w:pPr>
    </w:p>
    <w:p w14:paraId="5FBF271B" w14:textId="77777777" w:rsidR="002D706D" w:rsidRDefault="002D706D" w:rsidP="002D706D">
      <w:pPr>
        <w:rPr>
          <w:rtl/>
        </w:rPr>
      </w:pPr>
    </w:p>
    <w:p w14:paraId="434C1FA2" w14:textId="77777777" w:rsidR="002B00FC" w:rsidRDefault="002B00FC" w:rsidP="002B00FC">
      <w:pPr>
        <w:rPr>
          <w:rtl/>
        </w:rPr>
      </w:pPr>
    </w:p>
    <w:p w14:paraId="5A66681C" w14:textId="77777777" w:rsidR="00346EE8" w:rsidRDefault="00346EE8" w:rsidP="00346EE8">
      <w:pPr>
        <w:pStyle w:val="4"/>
        <w:numPr>
          <w:ilvl w:val="0"/>
          <w:numId w:val="2"/>
        </w:numPr>
        <w:rPr>
          <w:rtl/>
        </w:rPr>
      </w:pPr>
      <w:r w:rsidRPr="00164EB4">
        <w:rPr>
          <w:rFonts w:hint="cs"/>
          <w:rtl/>
        </w:rPr>
        <w:t xml:space="preserve">השפעת </w:t>
      </w:r>
      <w:r>
        <w:rPr>
          <w:rFonts w:hint="cs"/>
          <w:rtl/>
        </w:rPr>
        <w:t xml:space="preserve">תזכיר </w:t>
      </w:r>
      <w:r w:rsidRPr="00164EB4">
        <w:rPr>
          <w:rFonts w:hint="cs"/>
          <w:rtl/>
        </w:rPr>
        <w:t>החוק המוצע על החוק הקיים</w:t>
      </w:r>
    </w:p>
    <w:p w14:paraId="25B4E758" w14:textId="77777777" w:rsidR="00E40AD3" w:rsidRDefault="00E40AD3" w:rsidP="002D706D">
      <w:pPr>
        <w:rPr>
          <w:rtl/>
        </w:rPr>
      </w:pPr>
      <w:r>
        <w:rPr>
          <w:rFonts w:hint="cs"/>
          <w:rtl/>
        </w:rPr>
        <w:t xml:space="preserve">בחוק-יסוד: </w:t>
      </w:r>
      <w:r w:rsidRPr="00AE3199">
        <w:rPr>
          <w:rFonts w:hint="cs"/>
          <w:rtl/>
        </w:rPr>
        <w:t>הממשלה יתווסף סעיף</w:t>
      </w:r>
      <w:r w:rsidR="002D706D">
        <w:rPr>
          <w:rFonts w:hint="cs"/>
          <w:rtl/>
        </w:rPr>
        <w:t xml:space="preserve"> 7א</w:t>
      </w:r>
      <w:r w:rsidR="00AE3199" w:rsidRPr="00AE3199">
        <w:rPr>
          <w:rFonts w:hint="cs"/>
          <w:rtl/>
        </w:rPr>
        <w:t>.</w:t>
      </w:r>
    </w:p>
    <w:p w14:paraId="281BE766" w14:textId="77777777" w:rsidR="00D555E7" w:rsidRPr="00E40AD3" w:rsidRDefault="00D555E7" w:rsidP="00E40AD3">
      <w:pPr>
        <w:rPr>
          <w:rtl/>
        </w:rPr>
      </w:pPr>
    </w:p>
    <w:p w14:paraId="5188F205" w14:textId="77777777" w:rsidR="00346EE8" w:rsidRDefault="00346EE8" w:rsidP="00346EE8">
      <w:pPr>
        <w:pStyle w:val="4"/>
        <w:numPr>
          <w:ilvl w:val="0"/>
          <w:numId w:val="2"/>
        </w:numPr>
        <w:rPr>
          <w:rtl/>
        </w:rPr>
      </w:pPr>
      <w:r w:rsidRPr="00164EB4">
        <w:rPr>
          <w:rFonts w:hint="cs"/>
          <w:rtl/>
        </w:rPr>
        <w:t xml:space="preserve">השפעת </w:t>
      </w:r>
      <w:r>
        <w:rPr>
          <w:rFonts w:hint="cs"/>
          <w:rtl/>
        </w:rPr>
        <w:t xml:space="preserve">תזכיר </w:t>
      </w:r>
      <w:r w:rsidRPr="00164EB4">
        <w:rPr>
          <w:rFonts w:hint="cs"/>
          <w:rtl/>
        </w:rPr>
        <w:t>החוק המוצע על תקציב המדינה</w:t>
      </w:r>
    </w:p>
    <w:p w14:paraId="0DB98BFA" w14:textId="77777777" w:rsidR="00B52AF4" w:rsidRPr="00B52AF4" w:rsidRDefault="00B52AF4" w:rsidP="00B52AF4">
      <w:pPr>
        <w:rPr>
          <w:rtl/>
        </w:rPr>
      </w:pPr>
      <w:r>
        <w:rPr>
          <w:rFonts w:hint="cs"/>
          <w:rtl/>
        </w:rPr>
        <w:t>אין השפעה.</w:t>
      </w:r>
    </w:p>
    <w:p w14:paraId="223BA75A" w14:textId="77777777" w:rsidR="00346EE8" w:rsidRDefault="00346EE8" w:rsidP="00346EE8">
      <w:pPr>
        <w:pStyle w:val="4"/>
        <w:numPr>
          <w:ilvl w:val="0"/>
          <w:numId w:val="2"/>
        </w:numPr>
        <w:rPr>
          <w:rtl/>
        </w:rPr>
      </w:pPr>
      <w:r w:rsidRPr="00164EB4">
        <w:rPr>
          <w:rFonts w:hint="cs"/>
          <w:rtl/>
        </w:rPr>
        <w:t xml:space="preserve">השפעת </w:t>
      </w:r>
      <w:r>
        <w:rPr>
          <w:rFonts w:hint="cs"/>
          <w:rtl/>
        </w:rPr>
        <w:t xml:space="preserve">תזכיר </w:t>
      </w:r>
      <w:r w:rsidRPr="00164EB4">
        <w:rPr>
          <w:rFonts w:hint="cs"/>
          <w:rtl/>
        </w:rPr>
        <w:t>החוק המוצע על תקנים במשרדי הממשלה וההיבט המינהלי</w:t>
      </w:r>
    </w:p>
    <w:p w14:paraId="658FDDA4" w14:textId="77777777" w:rsidR="00B52AF4" w:rsidRPr="00B52AF4" w:rsidRDefault="00B52AF4" w:rsidP="00B52AF4">
      <w:pPr>
        <w:rPr>
          <w:rtl/>
        </w:rPr>
      </w:pPr>
      <w:r>
        <w:rPr>
          <w:rFonts w:hint="cs"/>
          <w:rtl/>
        </w:rPr>
        <w:t>אין השפעה.</w:t>
      </w:r>
    </w:p>
    <w:p w14:paraId="5B36D463" w14:textId="77777777" w:rsidR="00346EE8" w:rsidRPr="00164EB4" w:rsidRDefault="00346EE8" w:rsidP="00346EE8">
      <w:pPr>
        <w:pStyle w:val="4"/>
        <w:numPr>
          <w:ilvl w:val="0"/>
          <w:numId w:val="2"/>
        </w:numPr>
        <w:rPr>
          <w:rtl/>
        </w:rPr>
      </w:pPr>
      <w:r w:rsidRPr="00164EB4">
        <w:rPr>
          <w:rFonts w:hint="cs"/>
          <w:rtl/>
        </w:rPr>
        <w:lastRenderedPageBreak/>
        <w:t xml:space="preserve">להלן </w:t>
      </w:r>
      <w:r>
        <w:rPr>
          <w:rFonts w:hint="cs"/>
          <w:rtl/>
        </w:rPr>
        <w:t xml:space="preserve">תזכיר </w:t>
      </w:r>
      <w:r w:rsidRPr="00164EB4">
        <w:rPr>
          <w:rFonts w:hint="cs"/>
          <w:rtl/>
        </w:rPr>
        <w:t xml:space="preserve">נוסח החוק המוצע </w:t>
      </w:r>
    </w:p>
    <w:p w14:paraId="617EC4D0" w14:textId="77777777" w:rsidR="00346EE8" w:rsidRDefault="00346EE8" w:rsidP="007A48B1">
      <w:pPr>
        <w:pStyle w:val="HeadMitparsemetBaze"/>
        <w:keepNext w:val="0"/>
        <w:keepLines w:val="0"/>
        <w:pageBreakBefore w:val="0"/>
        <w:rPr>
          <w:rtl/>
        </w:rPr>
      </w:pPr>
      <w:r>
        <w:rPr>
          <w:rFonts w:hint="cs"/>
          <w:rtl/>
        </w:rPr>
        <w:t>תזכיר</w:t>
      </w:r>
      <w:r>
        <w:rPr>
          <w:rtl/>
        </w:rPr>
        <w:t xml:space="preserve"> חוק </w:t>
      </w:r>
      <w:r w:rsidR="00B52AF4">
        <w:rPr>
          <w:rFonts w:hint="cs"/>
          <w:rtl/>
        </w:rPr>
        <w:t>מטעם משרד המשפטים</w:t>
      </w:r>
      <w:r>
        <w:rPr>
          <w:rFonts w:hint="cs"/>
          <w:rtl/>
        </w:rPr>
        <w:t xml:space="preserve">: </w:t>
      </w:r>
    </w:p>
    <w:p w14:paraId="57513A26" w14:textId="77777777" w:rsidR="00346EE8" w:rsidRDefault="00346EE8" w:rsidP="002D706D">
      <w:pPr>
        <w:pStyle w:val="HeadHatzaotHok"/>
        <w:keepNext w:val="0"/>
        <w:keepLines w:val="0"/>
        <w:rPr>
          <w:rtl/>
        </w:rPr>
      </w:pPr>
      <w:bookmarkStart w:id="4" w:name="_Toc503130994"/>
      <w:r>
        <w:rPr>
          <w:rFonts w:hint="cs"/>
          <w:rtl/>
        </w:rPr>
        <w:t>תזכיר</w:t>
      </w:r>
      <w:r>
        <w:rPr>
          <w:rtl/>
        </w:rPr>
        <w:t xml:space="preserve"> חו</w:t>
      </w:r>
      <w:r>
        <w:rPr>
          <w:rFonts w:hint="cs"/>
          <w:rtl/>
        </w:rPr>
        <w:t>ק</w:t>
      </w:r>
      <w:r w:rsidR="00B52AF4">
        <w:rPr>
          <w:rFonts w:hint="cs"/>
          <w:rtl/>
        </w:rPr>
        <w:t>-יסוד: הממשלה (</w:t>
      </w:r>
      <w:r w:rsidRPr="00CF5BDF">
        <w:rPr>
          <w:rFonts w:hint="cs"/>
          <w:rtl/>
        </w:rPr>
        <w:t>תיקון</w:t>
      </w:r>
      <w:r w:rsidR="00B52AF4">
        <w:rPr>
          <w:rFonts w:hint="cs"/>
          <w:rtl/>
        </w:rPr>
        <w:t xml:space="preserve"> </w:t>
      </w:r>
      <w:r w:rsidR="00B52AF4">
        <w:rPr>
          <w:rtl/>
        </w:rPr>
        <w:t>–</w:t>
      </w:r>
      <w:r w:rsidR="00A82C8E">
        <w:rPr>
          <w:rFonts w:hint="cs"/>
          <w:rtl/>
        </w:rPr>
        <w:t xml:space="preserve"> </w:t>
      </w:r>
      <w:r w:rsidR="002D706D">
        <w:rPr>
          <w:rFonts w:hint="cs"/>
          <w:rtl/>
        </w:rPr>
        <w:t>אי כשירות של נאשם להרכיב את הממשלה</w:t>
      </w:r>
      <w:bookmarkEnd w:id="4"/>
      <w:r w:rsidR="00B52AF4">
        <w:rPr>
          <w:rFonts w:hint="cs"/>
          <w:rtl/>
        </w:rPr>
        <w:t>)</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346EE8" w14:paraId="6265067A" w14:textId="77777777" w:rsidTr="007A48B1">
        <w:trPr>
          <w:cantSplit/>
          <w:trHeight w:val="60"/>
        </w:trPr>
        <w:tc>
          <w:tcPr>
            <w:tcW w:w="1871" w:type="dxa"/>
          </w:tcPr>
          <w:p w14:paraId="6230B4CB" w14:textId="77777777" w:rsidR="00346EE8" w:rsidRDefault="00346EE8" w:rsidP="007A48B1">
            <w:pPr>
              <w:pStyle w:val="TableSideHeading"/>
            </w:pPr>
          </w:p>
        </w:tc>
        <w:tc>
          <w:tcPr>
            <w:tcW w:w="624" w:type="dxa"/>
          </w:tcPr>
          <w:p w14:paraId="0194CCA8" w14:textId="77777777" w:rsidR="00346EE8" w:rsidRDefault="00346EE8" w:rsidP="007A48B1">
            <w:pPr>
              <w:pStyle w:val="TableText"/>
            </w:pPr>
          </w:p>
        </w:tc>
        <w:tc>
          <w:tcPr>
            <w:tcW w:w="7146" w:type="dxa"/>
            <w:gridSpan w:val="6"/>
          </w:tcPr>
          <w:p w14:paraId="447BF4A4" w14:textId="77777777" w:rsidR="00346EE8" w:rsidRPr="00C34DE2" w:rsidRDefault="00346EE8" w:rsidP="007A48B1">
            <w:pPr>
              <w:pStyle w:val="TableHead"/>
            </w:pPr>
          </w:p>
        </w:tc>
      </w:tr>
      <w:tr w:rsidR="00AE3199" w14:paraId="3A9AAF34" w14:textId="77777777" w:rsidTr="00AE3199">
        <w:trPr>
          <w:cantSplit/>
          <w:trHeight w:val="60"/>
        </w:trPr>
        <w:tc>
          <w:tcPr>
            <w:tcW w:w="1871" w:type="dxa"/>
          </w:tcPr>
          <w:p w14:paraId="58B665E3" w14:textId="77777777" w:rsidR="00AE3199" w:rsidRDefault="00AE3199" w:rsidP="002D706D">
            <w:pPr>
              <w:pStyle w:val="TableSideHeading"/>
            </w:pPr>
            <w:r>
              <w:rPr>
                <w:rFonts w:hint="cs"/>
                <w:rtl/>
              </w:rPr>
              <w:t xml:space="preserve">הוספת סעיף </w:t>
            </w:r>
            <w:r w:rsidR="002D706D">
              <w:rPr>
                <w:rFonts w:hint="cs"/>
                <w:rtl/>
              </w:rPr>
              <w:t>7</w:t>
            </w:r>
            <w:r>
              <w:rPr>
                <w:rFonts w:hint="cs"/>
                <w:rtl/>
              </w:rPr>
              <w:t>א</w:t>
            </w:r>
          </w:p>
        </w:tc>
        <w:tc>
          <w:tcPr>
            <w:tcW w:w="624" w:type="dxa"/>
          </w:tcPr>
          <w:p w14:paraId="686FA10F" w14:textId="77777777" w:rsidR="00AE3199" w:rsidRDefault="00AE3199" w:rsidP="00AE3199">
            <w:pPr>
              <w:pStyle w:val="TableText"/>
              <w:keepLines w:val="0"/>
              <w:numPr>
                <w:ilvl w:val="0"/>
                <w:numId w:val="1"/>
              </w:numPr>
            </w:pPr>
          </w:p>
        </w:tc>
        <w:tc>
          <w:tcPr>
            <w:tcW w:w="7146" w:type="dxa"/>
            <w:gridSpan w:val="6"/>
          </w:tcPr>
          <w:p w14:paraId="1D82B65C" w14:textId="77777777" w:rsidR="00AE3199" w:rsidRPr="00C34DE2" w:rsidRDefault="00AE3199" w:rsidP="002D706D">
            <w:pPr>
              <w:pStyle w:val="TableBlock"/>
            </w:pPr>
            <w:r w:rsidRPr="00AE3199">
              <w:rPr>
                <w:rtl/>
              </w:rPr>
              <w:t>ב</w:t>
            </w:r>
            <w:r w:rsidRPr="00AE3199">
              <w:rPr>
                <w:rFonts w:hint="cs"/>
                <w:rtl/>
              </w:rPr>
              <w:t>חוק-יסוד: הממשלה</w:t>
            </w:r>
            <w:r>
              <w:rPr>
                <w:rStyle w:val="a7"/>
                <w:rtl/>
              </w:rPr>
              <w:footnoteReference w:id="4"/>
            </w:r>
            <w:r w:rsidRPr="00AE3199">
              <w:rPr>
                <w:rFonts w:hint="cs"/>
                <w:rtl/>
              </w:rPr>
              <w:t xml:space="preserve"> (להלן </w:t>
            </w:r>
            <w:r w:rsidRPr="00AE3199">
              <w:rPr>
                <w:rtl/>
              </w:rPr>
              <w:t>–</w:t>
            </w:r>
            <w:r w:rsidRPr="00AE3199">
              <w:rPr>
                <w:rFonts w:hint="cs"/>
                <w:rtl/>
              </w:rPr>
              <w:t xml:space="preserve"> חוק היסוד)</w:t>
            </w:r>
            <w:r>
              <w:rPr>
                <w:rFonts w:hint="cs"/>
                <w:rtl/>
              </w:rPr>
              <w:t xml:space="preserve"> </w:t>
            </w:r>
            <w:r w:rsidRPr="00AE3199">
              <w:rPr>
                <w:rtl/>
              </w:rPr>
              <w:t>אחרי סעיף</w:t>
            </w:r>
            <w:r>
              <w:rPr>
                <w:rFonts w:hint="cs"/>
                <w:rtl/>
              </w:rPr>
              <w:t xml:space="preserve"> </w:t>
            </w:r>
            <w:r w:rsidR="002D706D">
              <w:rPr>
                <w:rFonts w:hint="cs"/>
                <w:rtl/>
              </w:rPr>
              <w:t>7</w:t>
            </w:r>
            <w:r>
              <w:rPr>
                <w:rFonts w:hint="cs"/>
                <w:rtl/>
              </w:rPr>
              <w:t xml:space="preserve"> </w:t>
            </w:r>
            <w:r w:rsidRPr="00AE3199">
              <w:rPr>
                <w:rtl/>
              </w:rPr>
              <w:t>יבוא:</w:t>
            </w:r>
          </w:p>
        </w:tc>
      </w:tr>
      <w:tr w:rsidR="00AE3199" w14:paraId="09005DD7" w14:textId="77777777" w:rsidTr="00BE2ECA">
        <w:trPr>
          <w:cantSplit/>
          <w:trHeight w:val="60"/>
        </w:trPr>
        <w:tc>
          <w:tcPr>
            <w:tcW w:w="1871" w:type="dxa"/>
          </w:tcPr>
          <w:p w14:paraId="5B40382E" w14:textId="77777777" w:rsidR="00AE3199" w:rsidRPr="00BB6F8A" w:rsidRDefault="00AE3199" w:rsidP="00BE2ECA">
            <w:pPr>
              <w:pStyle w:val="TableSideHeading"/>
              <w:keepLines w:val="0"/>
              <w:rPr>
                <w:sz w:val="28"/>
                <w:szCs w:val="28"/>
              </w:rPr>
            </w:pPr>
          </w:p>
        </w:tc>
        <w:tc>
          <w:tcPr>
            <w:tcW w:w="624" w:type="dxa"/>
          </w:tcPr>
          <w:p w14:paraId="49B811D4" w14:textId="77777777" w:rsidR="00AE3199" w:rsidRPr="00BB6F8A" w:rsidRDefault="00AE3199" w:rsidP="00BE2ECA">
            <w:pPr>
              <w:pStyle w:val="TableText"/>
              <w:keepLines w:val="0"/>
              <w:rPr>
                <w:sz w:val="28"/>
                <w:szCs w:val="28"/>
              </w:rPr>
            </w:pPr>
          </w:p>
        </w:tc>
        <w:tc>
          <w:tcPr>
            <w:tcW w:w="1872" w:type="dxa"/>
            <w:gridSpan w:val="3"/>
          </w:tcPr>
          <w:p w14:paraId="3590D90B" w14:textId="77777777" w:rsidR="00AE3199" w:rsidRPr="00BB6F8A" w:rsidRDefault="00AE3199" w:rsidP="00814001">
            <w:pPr>
              <w:pStyle w:val="TableInnerSideHeading"/>
              <w:rPr>
                <w:sz w:val="28"/>
                <w:szCs w:val="28"/>
              </w:rPr>
            </w:pPr>
            <w:r w:rsidRPr="00BB6F8A">
              <w:rPr>
                <w:rFonts w:hint="cs"/>
                <w:sz w:val="28"/>
                <w:szCs w:val="28"/>
                <w:rtl/>
              </w:rPr>
              <w:t>"</w:t>
            </w:r>
            <w:r w:rsidR="00814001" w:rsidRPr="00BB6F8A">
              <w:rPr>
                <w:rFonts w:hint="cs"/>
                <w:sz w:val="28"/>
                <w:szCs w:val="28"/>
                <w:rtl/>
              </w:rPr>
              <w:t xml:space="preserve">אי כשירות של נאשם להרכיב את הממשלה </w:t>
            </w:r>
          </w:p>
        </w:tc>
        <w:tc>
          <w:tcPr>
            <w:tcW w:w="624" w:type="dxa"/>
          </w:tcPr>
          <w:p w14:paraId="10E34B79" w14:textId="77777777" w:rsidR="00AE3199" w:rsidRPr="00BB6F8A" w:rsidRDefault="00814001" w:rsidP="00D17038">
            <w:pPr>
              <w:pStyle w:val="TableText"/>
              <w:rPr>
                <w:sz w:val="28"/>
                <w:szCs w:val="28"/>
              </w:rPr>
            </w:pPr>
            <w:r w:rsidRPr="00BB6F8A">
              <w:rPr>
                <w:rFonts w:hint="cs"/>
                <w:sz w:val="28"/>
                <w:szCs w:val="28"/>
                <w:rtl/>
              </w:rPr>
              <w:t>7</w:t>
            </w:r>
            <w:r w:rsidR="00D17038" w:rsidRPr="00BB6F8A">
              <w:rPr>
                <w:rFonts w:hint="cs"/>
                <w:sz w:val="28"/>
                <w:szCs w:val="28"/>
                <w:rtl/>
              </w:rPr>
              <w:t>א</w:t>
            </w:r>
            <w:r w:rsidR="009D7A80" w:rsidRPr="00BB6F8A">
              <w:rPr>
                <w:rFonts w:hint="cs"/>
                <w:sz w:val="28"/>
                <w:szCs w:val="28"/>
                <w:rtl/>
              </w:rPr>
              <w:t>.</w:t>
            </w:r>
          </w:p>
        </w:tc>
        <w:tc>
          <w:tcPr>
            <w:tcW w:w="4650" w:type="dxa"/>
            <w:gridSpan w:val="2"/>
          </w:tcPr>
          <w:p w14:paraId="7AD31794" w14:textId="77777777" w:rsidR="00814001" w:rsidRPr="00D03294" w:rsidRDefault="00814001" w:rsidP="004E59DA">
            <w:pPr>
              <w:pStyle w:val="af"/>
              <w:keepLines/>
              <w:widowControl w:val="0"/>
              <w:numPr>
                <w:ilvl w:val="0"/>
                <w:numId w:val="27"/>
              </w:numPr>
              <w:tabs>
                <w:tab w:val="clear" w:pos="964"/>
                <w:tab w:val="left" w:pos="624"/>
                <w:tab w:val="left" w:pos="1247"/>
              </w:tabs>
              <w:spacing w:after="0" w:line="360" w:lineRule="auto"/>
              <w:ind w:left="0"/>
              <w:rPr>
                <w:sz w:val="28"/>
                <w:szCs w:val="28"/>
              </w:rPr>
            </w:pPr>
            <w:r w:rsidRPr="00BB6F8A">
              <w:rPr>
                <w:sz w:val="28"/>
                <w:szCs w:val="28"/>
                <w:rtl/>
              </w:rPr>
              <w:t xml:space="preserve">מבלי לגרוע מהוראות סעיפים 5(ב) ו-6, וסעיף 6 לחוק-יסוד: הכנסת, חבר הכנסת שבמועד הקובע תלוי ועומד נגדו כתב אישום בגין עבירה שהעונש הקבוע לה </w:t>
            </w:r>
            <w:r w:rsidRPr="00D03294">
              <w:rPr>
                <w:sz w:val="28"/>
                <w:szCs w:val="28"/>
                <w:rtl/>
              </w:rPr>
              <w:t xml:space="preserve">בחוק </w:t>
            </w:r>
            <w:r w:rsidR="004E59DA" w:rsidRPr="00D03294">
              <w:rPr>
                <w:rFonts w:hint="cs"/>
                <w:sz w:val="28"/>
                <w:szCs w:val="28"/>
                <w:rtl/>
              </w:rPr>
              <w:t xml:space="preserve">הוא </w:t>
            </w:r>
            <w:r w:rsidR="009639B2" w:rsidRPr="00D03294">
              <w:rPr>
                <w:rFonts w:hint="cs"/>
                <w:sz w:val="28"/>
                <w:szCs w:val="28"/>
                <w:rtl/>
              </w:rPr>
              <w:t xml:space="preserve">שלוש </w:t>
            </w:r>
            <w:r w:rsidRPr="00D03294">
              <w:rPr>
                <w:sz w:val="28"/>
                <w:szCs w:val="28"/>
                <w:rtl/>
              </w:rPr>
              <w:t>שנות מאסר או יותר –</w:t>
            </w:r>
          </w:p>
          <w:p w14:paraId="0F3C7291" w14:textId="77777777" w:rsidR="007741A6" w:rsidRPr="00BB6F8A" w:rsidRDefault="007741A6" w:rsidP="00BB6F8A">
            <w:pPr>
              <w:pStyle w:val="af"/>
              <w:numPr>
                <w:ilvl w:val="0"/>
                <w:numId w:val="25"/>
              </w:numPr>
              <w:spacing w:after="0" w:line="360" w:lineRule="auto"/>
              <w:contextualSpacing w:val="0"/>
              <w:rPr>
                <w:rFonts w:ascii="David" w:hAnsi="David"/>
                <w:sz w:val="28"/>
                <w:szCs w:val="28"/>
                <w:rtl/>
              </w:rPr>
            </w:pPr>
            <w:r w:rsidRPr="00BB6F8A">
              <w:rPr>
                <w:rFonts w:ascii="David" w:hAnsi="David"/>
                <w:sz w:val="28"/>
                <w:szCs w:val="28"/>
                <w:rtl/>
              </w:rPr>
              <w:t>לא יטיל עליו נשיא המדינה את ה</w:t>
            </w:r>
            <w:r w:rsidR="0088434D">
              <w:rPr>
                <w:rFonts w:ascii="David" w:hAnsi="David"/>
                <w:sz w:val="28"/>
                <w:szCs w:val="28"/>
                <w:rtl/>
              </w:rPr>
              <w:t>תפקיד להרכיב ממשלה לפי סעיפים 7</w:t>
            </w:r>
            <w:r w:rsidR="0088434D">
              <w:rPr>
                <w:rFonts w:ascii="David" w:hAnsi="David" w:hint="cs"/>
                <w:sz w:val="28"/>
                <w:szCs w:val="28"/>
                <w:rtl/>
              </w:rPr>
              <w:t>, 9, 10 או 29;</w:t>
            </w:r>
          </w:p>
          <w:p w14:paraId="1D03EA70" w14:textId="77777777" w:rsidR="00855158" w:rsidRPr="00BB6F8A" w:rsidRDefault="007741A6" w:rsidP="00BB6F8A">
            <w:pPr>
              <w:pStyle w:val="af"/>
              <w:widowControl w:val="0"/>
              <w:numPr>
                <w:ilvl w:val="0"/>
                <w:numId w:val="25"/>
              </w:numPr>
              <w:spacing w:after="0" w:line="360" w:lineRule="auto"/>
              <w:rPr>
                <w:rFonts w:ascii="David" w:hAnsi="David"/>
                <w:sz w:val="28"/>
                <w:szCs w:val="28"/>
              </w:rPr>
            </w:pPr>
            <w:r w:rsidRPr="00BB6F8A">
              <w:rPr>
                <w:rFonts w:ascii="David" w:hAnsi="David"/>
                <w:sz w:val="28"/>
                <w:szCs w:val="28"/>
                <w:rtl/>
              </w:rPr>
              <w:t>לא ייכלל בהצעה להבעת אמון בממשלה חדשה לפי סעיף 28 כראש הממשלה בממשלה זו</w:t>
            </w:r>
            <w:r w:rsidRPr="00BB6F8A">
              <w:rPr>
                <w:rFonts w:ascii="David" w:hAnsi="David" w:hint="cs"/>
                <w:sz w:val="28"/>
                <w:szCs w:val="28"/>
                <w:rtl/>
              </w:rPr>
              <w:t>;</w:t>
            </w:r>
          </w:p>
          <w:p w14:paraId="3A458249" w14:textId="77777777" w:rsidR="007741A6" w:rsidRPr="00BB6F8A" w:rsidRDefault="007741A6" w:rsidP="00BB6F8A">
            <w:pPr>
              <w:pStyle w:val="af"/>
              <w:numPr>
                <w:ilvl w:val="0"/>
                <w:numId w:val="25"/>
              </w:numPr>
              <w:spacing w:after="0" w:line="360" w:lineRule="auto"/>
              <w:contextualSpacing w:val="0"/>
              <w:rPr>
                <w:rFonts w:ascii="David" w:hAnsi="David"/>
                <w:sz w:val="28"/>
                <w:szCs w:val="28"/>
              </w:rPr>
            </w:pPr>
            <w:r w:rsidRPr="00BB6F8A">
              <w:rPr>
                <w:rFonts w:ascii="David" w:hAnsi="David"/>
                <w:sz w:val="28"/>
                <w:szCs w:val="28"/>
                <w:rtl/>
              </w:rPr>
              <w:t xml:space="preserve">לא יושבע כראש הממשלה החלופי </w:t>
            </w:r>
            <w:r w:rsidR="004E59DA">
              <w:rPr>
                <w:rFonts w:ascii="David" w:hAnsi="David" w:hint="cs"/>
                <w:sz w:val="28"/>
                <w:szCs w:val="28"/>
                <w:rtl/>
              </w:rPr>
              <w:t xml:space="preserve"> </w:t>
            </w:r>
            <w:r w:rsidRPr="00BB6F8A">
              <w:rPr>
                <w:rFonts w:ascii="David" w:hAnsi="David"/>
                <w:sz w:val="28"/>
                <w:szCs w:val="28"/>
                <w:rtl/>
              </w:rPr>
              <w:t>לפי סעיף 13א</w:t>
            </w:r>
            <w:r w:rsidR="00084584">
              <w:rPr>
                <w:rFonts w:ascii="David" w:hAnsi="David" w:hint="cs"/>
                <w:sz w:val="28"/>
                <w:szCs w:val="28"/>
                <w:rtl/>
              </w:rPr>
              <w:t>.</w:t>
            </w:r>
          </w:p>
          <w:p w14:paraId="17A3FBD2" w14:textId="77777777" w:rsidR="00B53055" w:rsidRPr="003F57A8" w:rsidRDefault="00B53055" w:rsidP="00814001">
            <w:pPr>
              <w:pStyle w:val="TableBlock"/>
              <w:ind w:left="720"/>
              <w:rPr>
                <w:sz w:val="28"/>
                <w:szCs w:val="28"/>
              </w:rPr>
            </w:pPr>
          </w:p>
        </w:tc>
      </w:tr>
      <w:tr w:rsidR="00BB6F8A" w14:paraId="31EA975A" w14:textId="77777777">
        <w:trPr>
          <w:cantSplit/>
          <w:trHeight w:val="60"/>
        </w:trPr>
        <w:tc>
          <w:tcPr>
            <w:tcW w:w="1871" w:type="dxa"/>
          </w:tcPr>
          <w:p w14:paraId="6E1CBD92" w14:textId="77777777" w:rsidR="00BB6F8A" w:rsidRPr="00BB6F8A" w:rsidRDefault="00BB6F8A">
            <w:pPr>
              <w:pStyle w:val="TableSideHeading"/>
              <w:rPr>
                <w:sz w:val="28"/>
                <w:szCs w:val="28"/>
              </w:rPr>
            </w:pPr>
          </w:p>
        </w:tc>
        <w:tc>
          <w:tcPr>
            <w:tcW w:w="624" w:type="dxa"/>
          </w:tcPr>
          <w:p w14:paraId="5FA17A48" w14:textId="77777777" w:rsidR="00BB6F8A" w:rsidRPr="00BB6F8A" w:rsidRDefault="00BB6F8A">
            <w:pPr>
              <w:pStyle w:val="TableText"/>
              <w:rPr>
                <w:sz w:val="28"/>
                <w:szCs w:val="28"/>
              </w:rPr>
            </w:pPr>
          </w:p>
        </w:tc>
        <w:tc>
          <w:tcPr>
            <w:tcW w:w="624" w:type="dxa"/>
          </w:tcPr>
          <w:p w14:paraId="50DCF9E4" w14:textId="77777777" w:rsidR="00BB6F8A" w:rsidRPr="00BB6F8A" w:rsidRDefault="00BB6F8A">
            <w:pPr>
              <w:pStyle w:val="TableText"/>
              <w:rPr>
                <w:sz w:val="28"/>
                <w:szCs w:val="28"/>
              </w:rPr>
            </w:pPr>
          </w:p>
        </w:tc>
        <w:tc>
          <w:tcPr>
            <w:tcW w:w="624" w:type="dxa"/>
          </w:tcPr>
          <w:p w14:paraId="486B8295" w14:textId="77777777" w:rsidR="00BB6F8A" w:rsidRPr="00BB6F8A" w:rsidRDefault="00BB6F8A">
            <w:pPr>
              <w:pStyle w:val="TableText"/>
              <w:rPr>
                <w:sz w:val="28"/>
                <w:szCs w:val="28"/>
              </w:rPr>
            </w:pPr>
          </w:p>
        </w:tc>
        <w:tc>
          <w:tcPr>
            <w:tcW w:w="624" w:type="dxa"/>
          </w:tcPr>
          <w:p w14:paraId="5F7D7767" w14:textId="77777777" w:rsidR="00BB6F8A" w:rsidRPr="00BB6F8A" w:rsidRDefault="00BB6F8A">
            <w:pPr>
              <w:pStyle w:val="TableText"/>
              <w:rPr>
                <w:sz w:val="28"/>
                <w:szCs w:val="28"/>
              </w:rPr>
            </w:pPr>
          </w:p>
        </w:tc>
        <w:tc>
          <w:tcPr>
            <w:tcW w:w="624" w:type="dxa"/>
          </w:tcPr>
          <w:p w14:paraId="6B5A8C1F" w14:textId="77777777" w:rsidR="00BB6F8A" w:rsidRPr="00BB6F8A" w:rsidRDefault="00BB6F8A">
            <w:pPr>
              <w:pStyle w:val="TableText"/>
              <w:rPr>
                <w:sz w:val="28"/>
                <w:szCs w:val="28"/>
              </w:rPr>
            </w:pPr>
          </w:p>
        </w:tc>
        <w:tc>
          <w:tcPr>
            <w:tcW w:w="4650" w:type="dxa"/>
            <w:gridSpan w:val="2"/>
          </w:tcPr>
          <w:p w14:paraId="0BBE7C13" w14:textId="43E98654" w:rsidR="00BB6F8A" w:rsidRDefault="00084584" w:rsidP="00DB2746">
            <w:pPr>
              <w:pStyle w:val="af"/>
              <w:keepLines/>
              <w:widowControl w:val="0"/>
              <w:tabs>
                <w:tab w:val="left" w:pos="624"/>
                <w:tab w:val="left" w:pos="1247"/>
              </w:tabs>
              <w:spacing w:after="0" w:line="360" w:lineRule="auto"/>
              <w:ind w:left="0"/>
              <w:rPr>
                <w:rFonts w:ascii="David" w:hAnsi="David"/>
                <w:sz w:val="28"/>
                <w:szCs w:val="28"/>
                <w:rtl/>
              </w:rPr>
            </w:pPr>
            <w:r>
              <w:rPr>
                <w:rFonts w:ascii="David" w:hAnsi="David" w:hint="cs"/>
                <w:sz w:val="28"/>
                <w:szCs w:val="28"/>
                <w:rtl/>
              </w:rPr>
              <w:t xml:space="preserve">אלא אם כן </w:t>
            </w:r>
            <w:r w:rsidR="004B61FD">
              <w:rPr>
                <w:rFonts w:ascii="David" w:hAnsi="David" w:hint="cs"/>
                <w:sz w:val="28"/>
                <w:szCs w:val="28"/>
                <w:rtl/>
              </w:rPr>
              <w:t xml:space="preserve">קבע </w:t>
            </w:r>
            <w:r w:rsidR="004B61FD">
              <w:rPr>
                <w:rFonts w:ascii="David" w:hAnsi="David"/>
                <w:sz w:val="28"/>
                <w:szCs w:val="28"/>
                <w:rtl/>
              </w:rPr>
              <w:t>יושב ראש ועדת הבחירות המרכזית</w:t>
            </w:r>
            <w:r w:rsidR="00BB6F8A" w:rsidRPr="00BB6F8A">
              <w:rPr>
                <w:rFonts w:ascii="David" w:hAnsi="David" w:hint="cs"/>
                <w:sz w:val="28"/>
                <w:szCs w:val="28"/>
                <w:rtl/>
              </w:rPr>
              <w:t>, לפי</w:t>
            </w:r>
            <w:r w:rsidR="00096CC3">
              <w:rPr>
                <w:rFonts w:ascii="David" w:hAnsi="David" w:hint="cs"/>
                <w:sz w:val="28"/>
                <w:szCs w:val="28"/>
                <w:rtl/>
              </w:rPr>
              <w:t xml:space="preserve"> האמור בכתב האישום, </w:t>
            </w:r>
            <w:r w:rsidR="00BB6F8A" w:rsidRPr="00BB6F8A">
              <w:rPr>
                <w:rFonts w:ascii="David" w:hAnsi="David" w:hint="cs"/>
                <w:sz w:val="28"/>
                <w:szCs w:val="28"/>
                <w:rtl/>
              </w:rPr>
              <w:t xml:space="preserve">כי </w:t>
            </w:r>
            <w:r w:rsidR="00CD7854">
              <w:rPr>
                <w:rFonts w:ascii="David" w:hAnsi="David" w:hint="cs"/>
                <w:sz w:val="28"/>
                <w:szCs w:val="28"/>
                <w:rtl/>
              </w:rPr>
              <w:t xml:space="preserve">אין עם העבירה, בנסיבות הענין, משום </w:t>
            </w:r>
            <w:r w:rsidR="00AE156D">
              <w:rPr>
                <w:rFonts w:ascii="David" w:hAnsi="David" w:hint="cs"/>
                <w:sz w:val="28"/>
                <w:szCs w:val="28"/>
                <w:rtl/>
              </w:rPr>
              <w:t xml:space="preserve">קלון.  </w:t>
            </w:r>
            <w:r w:rsidR="001919B9">
              <w:rPr>
                <w:rFonts w:ascii="David" w:hAnsi="David" w:hint="cs"/>
                <w:sz w:val="28"/>
                <w:szCs w:val="28"/>
                <w:rtl/>
              </w:rPr>
              <w:t>לענין סעיף זה</w:t>
            </w:r>
            <w:r w:rsidR="00084F8E">
              <w:rPr>
                <w:rFonts w:ascii="David" w:hAnsi="David" w:hint="cs"/>
                <w:sz w:val="28"/>
                <w:szCs w:val="28"/>
                <w:rtl/>
              </w:rPr>
              <w:t>:</w:t>
            </w:r>
            <w:r w:rsidR="001919B9" w:rsidRPr="001919B9">
              <w:rPr>
                <w:rFonts w:ascii="David" w:hAnsi="David"/>
                <w:sz w:val="28"/>
                <w:szCs w:val="28"/>
                <w:rtl/>
              </w:rPr>
              <w:t xml:space="preserve"> </w:t>
            </w:r>
            <w:r w:rsidR="00084F8E">
              <w:rPr>
                <w:rFonts w:ascii="David" w:hAnsi="David" w:hint="cs"/>
                <w:sz w:val="28"/>
                <w:szCs w:val="28"/>
                <w:rtl/>
              </w:rPr>
              <w:t xml:space="preserve">(1) </w:t>
            </w:r>
            <w:r w:rsidR="001919B9">
              <w:rPr>
                <w:rFonts w:ascii="David" w:hAnsi="David" w:hint="cs"/>
                <w:sz w:val="28"/>
                <w:szCs w:val="28"/>
                <w:rtl/>
              </w:rPr>
              <w:t xml:space="preserve">אין נפקא מינא אם כתב האישום </w:t>
            </w:r>
            <w:r w:rsidR="001919B9" w:rsidRPr="001919B9">
              <w:rPr>
                <w:rFonts w:ascii="David" w:hAnsi="David"/>
                <w:sz w:val="28"/>
                <w:szCs w:val="28"/>
                <w:rtl/>
              </w:rPr>
              <w:t>הוגש לפני תחילת כהונת</w:t>
            </w:r>
            <w:r w:rsidR="00AE156D">
              <w:rPr>
                <w:rFonts w:ascii="David" w:hAnsi="David" w:hint="cs"/>
                <w:sz w:val="28"/>
                <w:szCs w:val="28"/>
                <w:rtl/>
              </w:rPr>
              <w:t xml:space="preserve"> הנאשם</w:t>
            </w:r>
            <w:r w:rsidR="001919B9">
              <w:rPr>
                <w:rFonts w:ascii="David" w:hAnsi="David" w:hint="cs"/>
                <w:sz w:val="28"/>
                <w:szCs w:val="28"/>
                <w:rtl/>
              </w:rPr>
              <w:t xml:space="preserve"> </w:t>
            </w:r>
            <w:r w:rsidR="00512539">
              <w:rPr>
                <w:rFonts w:ascii="David" w:hAnsi="David" w:hint="cs"/>
                <w:sz w:val="28"/>
                <w:szCs w:val="28"/>
                <w:rtl/>
              </w:rPr>
              <w:t xml:space="preserve">כנבחר ציבור </w:t>
            </w:r>
            <w:r w:rsidR="001919B9">
              <w:rPr>
                <w:rFonts w:ascii="David" w:hAnsi="David" w:hint="cs"/>
                <w:sz w:val="28"/>
                <w:szCs w:val="28"/>
                <w:rtl/>
              </w:rPr>
              <w:t>או אחריה;</w:t>
            </w:r>
            <w:r w:rsidR="001919B9" w:rsidRPr="001919B9">
              <w:rPr>
                <w:rFonts w:ascii="David" w:hAnsi="David"/>
                <w:sz w:val="28"/>
                <w:szCs w:val="28"/>
                <w:rtl/>
              </w:rPr>
              <w:t xml:space="preserve"> </w:t>
            </w:r>
            <w:r w:rsidR="001919B9">
              <w:rPr>
                <w:rFonts w:ascii="David" w:hAnsi="David" w:hint="cs"/>
                <w:sz w:val="28"/>
                <w:szCs w:val="28"/>
                <w:rtl/>
              </w:rPr>
              <w:t xml:space="preserve">ובין אם </w:t>
            </w:r>
            <w:r w:rsidR="001919B9" w:rsidRPr="001919B9">
              <w:rPr>
                <w:rFonts w:ascii="David" w:hAnsi="David"/>
                <w:sz w:val="28"/>
                <w:szCs w:val="28"/>
                <w:rtl/>
              </w:rPr>
              <w:t>העבירה נעברה בזמן שכיהן כ</w:t>
            </w:r>
            <w:r w:rsidR="001919B9">
              <w:rPr>
                <w:rFonts w:ascii="David" w:hAnsi="David" w:hint="cs"/>
                <w:sz w:val="28"/>
                <w:szCs w:val="28"/>
                <w:rtl/>
              </w:rPr>
              <w:t>נבחר ציבור</w:t>
            </w:r>
            <w:r w:rsidR="001919B9" w:rsidRPr="001919B9">
              <w:rPr>
                <w:rFonts w:ascii="David" w:hAnsi="David"/>
                <w:sz w:val="28"/>
                <w:szCs w:val="28"/>
                <w:rtl/>
              </w:rPr>
              <w:t xml:space="preserve"> ובין לפני שהחל לכהן כ</w:t>
            </w:r>
            <w:r w:rsidR="001919B9">
              <w:rPr>
                <w:rFonts w:ascii="David" w:hAnsi="David" w:hint="cs"/>
                <w:sz w:val="28"/>
                <w:szCs w:val="28"/>
                <w:rtl/>
              </w:rPr>
              <w:t>נבחר ציבור</w:t>
            </w:r>
            <w:r w:rsidR="00084F8E">
              <w:rPr>
                <w:rFonts w:ascii="David" w:hAnsi="David" w:hint="cs"/>
                <w:sz w:val="28"/>
                <w:szCs w:val="28"/>
                <w:rtl/>
              </w:rPr>
              <w:t xml:space="preserve">; (2) יושב ראש ועדת הבחירות המרכזית </w:t>
            </w:r>
            <w:r w:rsidR="00D03294">
              <w:rPr>
                <w:rFonts w:ascii="David" w:hAnsi="David" w:hint="cs"/>
                <w:sz w:val="28"/>
                <w:szCs w:val="28"/>
                <w:rtl/>
              </w:rPr>
              <w:t xml:space="preserve">ידון בשאלה האם </w:t>
            </w:r>
            <w:r w:rsidR="00AE156D">
              <w:rPr>
                <w:rFonts w:ascii="David" w:hAnsi="David" w:hint="cs"/>
                <w:sz w:val="28"/>
                <w:szCs w:val="28"/>
                <w:rtl/>
              </w:rPr>
              <w:t>מדובר בעבירה שיש עימה קלון</w:t>
            </w:r>
            <w:r w:rsidR="00D03294">
              <w:rPr>
                <w:rFonts w:ascii="David" w:hAnsi="David" w:hint="cs"/>
                <w:sz w:val="28"/>
                <w:szCs w:val="28"/>
                <w:rtl/>
              </w:rPr>
              <w:t xml:space="preserve"> על פי עובדות כתב האישום ו</w:t>
            </w:r>
            <w:r w:rsidR="00084F8E">
              <w:rPr>
                <w:rFonts w:ascii="David" w:hAnsi="David" w:hint="cs"/>
                <w:sz w:val="28"/>
                <w:szCs w:val="28"/>
                <w:rtl/>
              </w:rPr>
              <w:t xml:space="preserve">לא </w:t>
            </w:r>
            <w:r w:rsidR="001D5ECE">
              <w:rPr>
                <w:rFonts w:ascii="David" w:hAnsi="David" w:hint="cs"/>
                <w:sz w:val="28"/>
                <w:szCs w:val="28"/>
                <w:rtl/>
              </w:rPr>
              <w:t xml:space="preserve">יידרש </w:t>
            </w:r>
            <w:r w:rsidR="00084F8E">
              <w:rPr>
                <w:rFonts w:ascii="David" w:hAnsi="David" w:hint="cs"/>
                <w:sz w:val="28"/>
                <w:szCs w:val="28"/>
                <w:rtl/>
              </w:rPr>
              <w:t>לחומר</w:t>
            </w:r>
            <w:r w:rsidR="00D03294">
              <w:rPr>
                <w:rFonts w:ascii="David" w:hAnsi="David" w:hint="cs"/>
                <w:sz w:val="28"/>
                <w:szCs w:val="28"/>
                <w:rtl/>
              </w:rPr>
              <w:t xml:space="preserve"> הראיות שבבסיסו</w:t>
            </w:r>
            <w:r w:rsidR="001919B9" w:rsidRPr="001919B9">
              <w:rPr>
                <w:rFonts w:ascii="David" w:hAnsi="David"/>
                <w:sz w:val="28"/>
                <w:szCs w:val="28"/>
                <w:rtl/>
              </w:rPr>
              <w:t>.</w:t>
            </w:r>
          </w:p>
          <w:p w14:paraId="25AA8D4A" w14:textId="77777777" w:rsidR="003F57A8" w:rsidRDefault="003F57A8" w:rsidP="00084584">
            <w:pPr>
              <w:pStyle w:val="af"/>
              <w:keepLines/>
              <w:widowControl w:val="0"/>
              <w:tabs>
                <w:tab w:val="left" w:pos="624"/>
                <w:tab w:val="left" w:pos="1247"/>
              </w:tabs>
              <w:spacing w:after="0" w:line="360" w:lineRule="auto"/>
              <w:ind w:left="0"/>
              <w:rPr>
                <w:sz w:val="28"/>
                <w:szCs w:val="28"/>
                <w:rtl/>
              </w:rPr>
            </w:pPr>
          </w:p>
          <w:p w14:paraId="1AFB260E" w14:textId="77777777" w:rsidR="003F57A8" w:rsidRDefault="003F57A8" w:rsidP="00084584">
            <w:pPr>
              <w:pStyle w:val="af"/>
              <w:keepLines/>
              <w:widowControl w:val="0"/>
              <w:tabs>
                <w:tab w:val="left" w:pos="624"/>
                <w:tab w:val="left" w:pos="1247"/>
              </w:tabs>
              <w:spacing w:after="0" w:line="360" w:lineRule="auto"/>
              <w:ind w:left="0"/>
              <w:rPr>
                <w:sz w:val="28"/>
                <w:szCs w:val="28"/>
                <w:rtl/>
              </w:rPr>
            </w:pPr>
          </w:p>
          <w:p w14:paraId="2FEF9638" w14:textId="77777777" w:rsidR="003F57A8" w:rsidRDefault="003F57A8" w:rsidP="00084584">
            <w:pPr>
              <w:pStyle w:val="af"/>
              <w:keepLines/>
              <w:widowControl w:val="0"/>
              <w:tabs>
                <w:tab w:val="left" w:pos="624"/>
                <w:tab w:val="left" w:pos="1247"/>
              </w:tabs>
              <w:spacing w:after="0" w:line="360" w:lineRule="auto"/>
              <w:ind w:left="0"/>
              <w:rPr>
                <w:sz w:val="28"/>
                <w:szCs w:val="28"/>
                <w:rtl/>
              </w:rPr>
            </w:pPr>
          </w:p>
          <w:p w14:paraId="15629F7D" w14:textId="77777777" w:rsidR="003F57A8" w:rsidRDefault="003F57A8" w:rsidP="00084584">
            <w:pPr>
              <w:pStyle w:val="af"/>
              <w:keepLines/>
              <w:widowControl w:val="0"/>
              <w:tabs>
                <w:tab w:val="left" w:pos="624"/>
                <w:tab w:val="left" w:pos="1247"/>
              </w:tabs>
              <w:spacing w:after="0" w:line="360" w:lineRule="auto"/>
              <w:ind w:left="0"/>
              <w:rPr>
                <w:sz w:val="28"/>
                <w:szCs w:val="28"/>
                <w:rtl/>
              </w:rPr>
            </w:pPr>
          </w:p>
          <w:p w14:paraId="038D3A48" w14:textId="77777777" w:rsidR="003F57A8" w:rsidRDefault="003F57A8" w:rsidP="00084584">
            <w:pPr>
              <w:pStyle w:val="af"/>
              <w:keepLines/>
              <w:widowControl w:val="0"/>
              <w:tabs>
                <w:tab w:val="left" w:pos="624"/>
                <w:tab w:val="left" w:pos="1247"/>
              </w:tabs>
              <w:spacing w:after="0" w:line="360" w:lineRule="auto"/>
              <w:ind w:left="0"/>
              <w:rPr>
                <w:sz w:val="28"/>
                <w:szCs w:val="28"/>
                <w:rtl/>
              </w:rPr>
            </w:pPr>
          </w:p>
          <w:p w14:paraId="5C0194A7" w14:textId="77777777" w:rsidR="003F57A8" w:rsidRDefault="003F57A8" w:rsidP="00084584">
            <w:pPr>
              <w:pStyle w:val="af"/>
              <w:keepLines/>
              <w:widowControl w:val="0"/>
              <w:tabs>
                <w:tab w:val="left" w:pos="624"/>
                <w:tab w:val="left" w:pos="1247"/>
              </w:tabs>
              <w:spacing w:after="0" w:line="360" w:lineRule="auto"/>
              <w:ind w:left="0"/>
              <w:rPr>
                <w:sz w:val="28"/>
                <w:szCs w:val="28"/>
                <w:rtl/>
              </w:rPr>
            </w:pPr>
          </w:p>
          <w:p w14:paraId="43B0A2DC" w14:textId="77777777" w:rsidR="003F57A8" w:rsidRDefault="003F57A8" w:rsidP="00084584">
            <w:pPr>
              <w:pStyle w:val="af"/>
              <w:keepLines/>
              <w:widowControl w:val="0"/>
              <w:tabs>
                <w:tab w:val="left" w:pos="624"/>
                <w:tab w:val="left" w:pos="1247"/>
              </w:tabs>
              <w:spacing w:after="0" w:line="360" w:lineRule="auto"/>
              <w:ind w:left="0"/>
              <w:rPr>
                <w:sz w:val="28"/>
                <w:szCs w:val="28"/>
                <w:rtl/>
              </w:rPr>
            </w:pPr>
          </w:p>
          <w:p w14:paraId="6A64A3BE" w14:textId="77777777" w:rsidR="003F57A8" w:rsidRPr="00BB6F8A" w:rsidRDefault="003F57A8" w:rsidP="00084584">
            <w:pPr>
              <w:pStyle w:val="af"/>
              <w:keepLines/>
              <w:widowControl w:val="0"/>
              <w:tabs>
                <w:tab w:val="left" w:pos="624"/>
                <w:tab w:val="left" w:pos="1247"/>
              </w:tabs>
              <w:spacing w:after="0" w:line="360" w:lineRule="auto"/>
              <w:ind w:left="0"/>
              <w:rPr>
                <w:sz w:val="28"/>
                <w:szCs w:val="28"/>
              </w:rPr>
            </w:pPr>
          </w:p>
        </w:tc>
      </w:tr>
      <w:tr w:rsidR="00BB6F8A" w14:paraId="09048407" w14:textId="77777777">
        <w:trPr>
          <w:cantSplit/>
          <w:trHeight w:val="60"/>
        </w:trPr>
        <w:tc>
          <w:tcPr>
            <w:tcW w:w="1871" w:type="dxa"/>
          </w:tcPr>
          <w:p w14:paraId="0FBD1DAE" w14:textId="77777777" w:rsidR="00BB6F8A" w:rsidRPr="00BB6F8A" w:rsidRDefault="00BB6F8A">
            <w:pPr>
              <w:pStyle w:val="TableSideHeading"/>
              <w:rPr>
                <w:sz w:val="28"/>
                <w:szCs w:val="28"/>
              </w:rPr>
            </w:pPr>
          </w:p>
        </w:tc>
        <w:tc>
          <w:tcPr>
            <w:tcW w:w="624" w:type="dxa"/>
          </w:tcPr>
          <w:p w14:paraId="652868B6" w14:textId="77777777" w:rsidR="00BB6F8A" w:rsidRPr="00BB6F8A" w:rsidRDefault="00BB6F8A" w:rsidP="00BB6F8A">
            <w:pPr>
              <w:pStyle w:val="TableText"/>
              <w:rPr>
                <w:sz w:val="28"/>
                <w:szCs w:val="28"/>
              </w:rPr>
            </w:pPr>
          </w:p>
        </w:tc>
        <w:tc>
          <w:tcPr>
            <w:tcW w:w="624" w:type="dxa"/>
          </w:tcPr>
          <w:p w14:paraId="5A45F96A" w14:textId="77777777" w:rsidR="00BB6F8A" w:rsidRPr="00BB6F8A" w:rsidRDefault="00BB6F8A">
            <w:pPr>
              <w:pStyle w:val="TableText"/>
              <w:rPr>
                <w:sz w:val="28"/>
                <w:szCs w:val="28"/>
              </w:rPr>
            </w:pPr>
          </w:p>
        </w:tc>
        <w:tc>
          <w:tcPr>
            <w:tcW w:w="624" w:type="dxa"/>
          </w:tcPr>
          <w:p w14:paraId="497E358B" w14:textId="77777777" w:rsidR="00BB6F8A" w:rsidRPr="00BB6F8A" w:rsidRDefault="00BB6F8A">
            <w:pPr>
              <w:pStyle w:val="TableText"/>
              <w:rPr>
                <w:sz w:val="28"/>
                <w:szCs w:val="28"/>
              </w:rPr>
            </w:pPr>
          </w:p>
        </w:tc>
        <w:tc>
          <w:tcPr>
            <w:tcW w:w="624" w:type="dxa"/>
          </w:tcPr>
          <w:p w14:paraId="09D8EDC4" w14:textId="77777777" w:rsidR="00BB6F8A" w:rsidRPr="00BB6F8A" w:rsidRDefault="00BB6F8A">
            <w:pPr>
              <w:pStyle w:val="TableText"/>
              <w:rPr>
                <w:sz w:val="28"/>
                <w:szCs w:val="28"/>
              </w:rPr>
            </w:pPr>
          </w:p>
        </w:tc>
        <w:tc>
          <w:tcPr>
            <w:tcW w:w="624" w:type="dxa"/>
          </w:tcPr>
          <w:p w14:paraId="62262AA1" w14:textId="77777777" w:rsidR="00BB6F8A" w:rsidRPr="00BB6F8A" w:rsidRDefault="00BB6F8A">
            <w:pPr>
              <w:pStyle w:val="TableText"/>
              <w:rPr>
                <w:sz w:val="28"/>
                <w:szCs w:val="28"/>
              </w:rPr>
            </w:pPr>
          </w:p>
        </w:tc>
        <w:tc>
          <w:tcPr>
            <w:tcW w:w="4650" w:type="dxa"/>
            <w:gridSpan w:val="2"/>
          </w:tcPr>
          <w:p w14:paraId="6D3E45B1" w14:textId="77777777" w:rsidR="00BB6F8A" w:rsidRPr="00BB6F8A" w:rsidRDefault="00BB6F8A" w:rsidP="003F57A8">
            <w:pPr>
              <w:pStyle w:val="af"/>
              <w:keepLines/>
              <w:widowControl w:val="0"/>
              <w:numPr>
                <w:ilvl w:val="0"/>
                <w:numId w:val="27"/>
              </w:numPr>
              <w:tabs>
                <w:tab w:val="clear" w:pos="964"/>
                <w:tab w:val="left" w:pos="624"/>
                <w:tab w:val="left" w:pos="1247"/>
              </w:tabs>
              <w:spacing w:after="0" w:line="360" w:lineRule="auto"/>
              <w:ind w:left="0"/>
              <w:rPr>
                <w:rFonts w:ascii="David" w:hAnsi="David"/>
                <w:sz w:val="28"/>
                <w:szCs w:val="28"/>
                <w:rtl/>
              </w:rPr>
            </w:pPr>
            <w:r w:rsidRPr="00BB6F8A">
              <w:rPr>
                <w:rFonts w:ascii="David" w:hAnsi="David" w:hint="cs"/>
                <w:sz w:val="28"/>
                <w:szCs w:val="28"/>
                <w:rtl/>
              </w:rPr>
              <w:t>בסעיף זה</w:t>
            </w:r>
            <w:r w:rsidR="003F57A8">
              <w:rPr>
                <w:rFonts w:ascii="David" w:hAnsi="David" w:hint="cs"/>
                <w:sz w:val="28"/>
                <w:szCs w:val="28"/>
                <w:rtl/>
              </w:rPr>
              <w:t xml:space="preserve">, </w:t>
            </w:r>
            <w:r w:rsidRPr="00BB6F8A">
              <w:rPr>
                <w:rFonts w:ascii="David" w:hAnsi="David" w:hint="cs"/>
                <w:sz w:val="28"/>
                <w:szCs w:val="28"/>
                <w:rtl/>
              </w:rPr>
              <w:t>"המועד הקובע"</w:t>
            </w:r>
            <w:r w:rsidR="00366A1A">
              <w:rPr>
                <w:rFonts w:ascii="David" w:hAnsi="David" w:hint="cs"/>
                <w:sz w:val="28"/>
                <w:szCs w:val="28"/>
                <w:rtl/>
              </w:rPr>
              <w:t xml:space="preserve"> </w:t>
            </w:r>
            <w:r w:rsidRPr="00BB6F8A">
              <w:rPr>
                <w:rFonts w:ascii="David" w:hAnsi="David" w:hint="cs"/>
                <w:sz w:val="28"/>
                <w:szCs w:val="28"/>
                <w:rtl/>
              </w:rPr>
              <w:t>-</w:t>
            </w:r>
            <w:r w:rsidR="00366A1A">
              <w:rPr>
                <w:rFonts w:ascii="David" w:hAnsi="David" w:hint="cs"/>
                <w:sz w:val="28"/>
                <w:szCs w:val="28"/>
                <w:rtl/>
              </w:rPr>
              <w:t xml:space="preserve"> </w:t>
            </w:r>
            <w:r w:rsidRPr="00BB6F8A">
              <w:rPr>
                <w:rFonts w:ascii="David" w:hAnsi="David" w:hint="cs"/>
                <w:sz w:val="28"/>
                <w:szCs w:val="28"/>
                <w:rtl/>
              </w:rPr>
              <w:t xml:space="preserve"> </w:t>
            </w:r>
          </w:p>
        </w:tc>
      </w:tr>
      <w:tr w:rsidR="00855158" w14:paraId="35AAC652" w14:textId="77777777">
        <w:trPr>
          <w:cantSplit/>
          <w:trHeight w:val="60"/>
        </w:trPr>
        <w:tc>
          <w:tcPr>
            <w:tcW w:w="1871" w:type="dxa"/>
          </w:tcPr>
          <w:p w14:paraId="0D49A33D" w14:textId="77777777" w:rsidR="00855158" w:rsidRPr="00BB6F8A" w:rsidRDefault="00855158">
            <w:pPr>
              <w:pStyle w:val="TableSideHeading"/>
              <w:rPr>
                <w:sz w:val="28"/>
                <w:szCs w:val="28"/>
              </w:rPr>
            </w:pPr>
          </w:p>
        </w:tc>
        <w:tc>
          <w:tcPr>
            <w:tcW w:w="624" w:type="dxa"/>
          </w:tcPr>
          <w:p w14:paraId="5D081275" w14:textId="77777777" w:rsidR="00855158" w:rsidRPr="00BB6F8A" w:rsidRDefault="00855158">
            <w:pPr>
              <w:pStyle w:val="TableText"/>
              <w:rPr>
                <w:sz w:val="28"/>
                <w:szCs w:val="28"/>
              </w:rPr>
            </w:pPr>
          </w:p>
        </w:tc>
        <w:tc>
          <w:tcPr>
            <w:tcW w:w="624" w:type="dxa"/>
          </w:tcPr>
          <w:p w14:paraId="19B8EE4B" w14:textId="77777777" w:rsidR="00855158" w:rsidRPr="00BB6F8A" w:rsidRDefault="00855158">
            <w:pPr>
              <w:pStyle w:val="TableText"/>
              <w:rPr>
                <w:sz w:val="28"/>
                <w:szCs w:val="28"/>
              </w:rPr>
            </w:pPr>
          </w:p>
        </w:tc>
        <w:tc>
          <w:tcPr>
            <w:tcW w:w="624" w:type="dxa"/>
          </w:tcPr>
          <w:p w14:paraId="669A7A47" w14:textId="77777777" w:rsidR="00855158" w:rsidRPr="00BB6F8A" w:rsidRDefault="00855158">
            <w:pPr>
              <w:pStyle w:val="TableText"/>
              <w:rPr>
                <w:sz w:val="28"/>
                <w:szCs w:val="28"/>
              </w:rPr>
            </w:pPr>
          </w:p>
        </w:tc>
        <w:tc>
          <w:tcPr>
            <w:tcW w:w="624" w:type="dxa"/>
          </w:tcPr>
          <w:p w14:paraId="4F51D720" w14:textId="77777777" w:rsidR="00855158" w:rsidRPr="00BB6F8A" w:rsidRDefault="00855158">
            <w:pPr>
              <w:pStyle w:val="TableText"/>
              <w:rPr>
                <w:sz w:val="28"/>
                <w:szCs w:val="28"/>
              </w:rPr>
            </w:pPr>
          </w:p>
        </w:tc>
        <w:tc>
          <w:tcPr>
            <w:tcW w:w="624" w:type="dxa"/>
          </w:tcPr>
          <w:p w14:paraId="11B6BE98" w14:textId="77777777" w:rsidR="00855158" w:rsidRPr="00BB6F8A" w:rsidRDefault="00855158">
            <w:pPr>
              <w:pStyle w:val="TableText"/>
              <w:rPr>
                <w:sz w:val="28"/>
                <w:szCs w:val="28"/>
              </w:rPr>
            </w:pPr>
          </w:p>
        </w:tc>
        <w:tc>
          <w:tcPr>
            <w:tcW w:w="624" w:type="dxa"/>
          </w:tcPr>
          <w:p w14:paraId="2ABA8A23" w14:textId="77777777" w:rsidR="00855158" w:rsidRPr="00BB6F8A" w:rsidRDefault="00855158">
            <w:pPr>
              <w:pStyle w:val="TableText"/>
              <w:rPr>
                <w:sz w:val="28"/>
                <w:szCs w:val="28"/>
              </w:rPr>
            </w:pPr>
          </w:p>
        </w:tc>
        <w:tc>
          <w:tcPr>
            <w:tcW w:w="4026" w:type="dxa"/>
          </w:tcPr>
          <w:p w14:paraId="51522E0A" w14:textId="77777777" w:rsidR="00855158" w:rsidRPr="00BB6F8A" w:rsidRDefault="00855158" w:rsidP="0088434D">
            <w:pPr>
              <w:pStyle w:val="af"/>
              <w:widowControl w:val="0"/>
              <w:numPr>
                <w:ilvl w:val="0"/>
                <w:numId w:val="21"/>
              </w:numPr>
              <w:spacing w:after="0" w:line="360" w:lineRule="auto"/>
              <w:rPr>
                <w:rFonts w:ascii="David" w:hAnsi="David"/>
                <w:sz w:val="28"/>
                <w:szCs w:val="28"/>
              </w:rPr>
            </w:pPr>
            <w:r w:rsidRPr="00BB6F8A">
              <w:rPr>
                <w:rFonts w:ascii="David" w:hAnsi="David"/>
                <w:sz w:val="28"/>
                <w:szCs w:val="28"/>
                <w:rtl/>
              </w:rPr>
              <w:t>לענין הטלת התפקיד לפי סעיפים 7</w:t>
            </w:r>
            <w:r w:rsidR="0088434D">
              <w:rPr>
                <w:rFonts w:ascii="David" w:hAnsi="David" w:hint="cs"/>
                <w:sz w:val="28"/>
                <w:szCs w:val="28"/>
                <w:rtl/>
              </w:rPr>
              <w:t xml:space="preserve">, 9 או 10 </w:t>
            </w:r>
            <w:r w:rsidRPr="00BB6F8A">
              <w:rPr>
                <w:rFonts w:ascii="David" w:hAnsi="David"/>
                <w:sz w:val="28"/>
                <w:szCs w:val="28"/>
                <w:rtl/>
              </w:rPr>
              <w:t xml:space="preserve">בקשר לכינון ממשלה בשל התקיימות בחירות לכנסת - היום ה-45 לפני היום הראשון להגשת רשימות המועמדים לכנסת בבחירות האחרונות שהתקיימו לפני מועד הטלת התפקיד; </w:t>
            </w:r>
          </w:p>
          <w:p w14:paraId="58BD20DB" w14:textId="77777777" w:rsidR="00855158" w:rsidRPr="00BB6F8A" w:rsidRDefault="00855158" w:rsidP="002D1B95">
            <w:pPr>
              <w:pStyle w:val="af"/>
              <w:widowControl w:val="0"/>
              <w:numPr>
                <w:ilvl w:val="0"/>
                <w:numId w:val="21"/>
              </w:numPr>
              <w:spacing w:after="0" w:line="360" w:lineRule="auto"/>
              <w:rPr>
                <w:rFonts w:ascii="David" w:hAnsi="David"/>
                <w:sz w:val="28"/>
                <w:szCs w:val="28"/>
                <w:rtl/>
              </w:rPr>
            </w:pPr>
            <w:r w:rsidRPr="00BB6F8A">
              <w:rPr>
                <w:rFonts w:ascii="David" w:hAnsi="David"/>
                <w:sz w:val="28"/>
                <w:szCs w:val="28"/>
                <w:rtl/>
              </w:rPr>
              <w:t>לענין הטלת התפקיד לפי סעיפים 7</w:t>
            </w:r>
            <w:r w:rsidR="00B177ED">
              <w:rPr>
                <w:rFonts w:ascii="David" w:hAnsi="David" w:hint="cs"/>
                <w:sz w:val="28"/>
                <w:szCs w:val="28"/>
                <w:rtl/>
              </w:rPr>
              <w:t>, 9 או 10</w:t>
            </w:r>
            <w:r w:rsidRPr="00BB6F8A">
              <w:rPr>
                <w:rFonts w:ascii="David" w:hAnsi="David"/>
                <w:sz w:val="28"/>
                <w:szCs w:val="28"/>
                <w:rtl/>
              </w:rPr>
              <w:t xml:space="preserve"> בשל הווצרות עילה לכינון ממשלה, שאינה בחירות לכנסת – </w:t>
            </w:r>
            <w:r w:rsidRPr="00BB6F8A">
              <w:rPr>
                <w:rFonts w:ascii="David" w:hAnsi="David" w:hint="cs"/>
                <w:sz w:val="28"/>
                <w:szCs w:val="28"/>
                <w:rtl/>
              </w:rPr>
              <w:t>בעת הטלת התפקיד</w:t>
            </w:r>
            <w:r w:rsidRPr="00BB6F8A">
              <w:rPr>
                <w:rFonts w:ascii="David" w:hAnsi="David"/>
                <w:sz w:val="28"/>
                <w:szCs w:val="28"/>
                <w:rtl/>
              </w:rPr>
              <w:t>;</w:t>
            </w:r>
          </w:p>
          <w:p w14:paraId="6AA2489F" w14:textId="77777777" w:rsidR="00855158" w:rsidRPr="00BB6F8A" w:rsidRDefault="00855158" w:rsidP="00D4026B">
            <w:pPr>
              <w:pStyle w:val="af"/>
              <w:widowControl w:val="0"/>
              <w:numPr>
                <w:ilvl w:val="0"/>
                <w:numId w:val="21"/>
              </w:numPr>
              <w:spacing w:after="0" w:line="360" w:lineRule="auto"/>
              <w:rPr>
                <w:rFonts w:ascii="David" w:hAnsi="David"/>
                <w:sz w:val="28"/>
                <w:szCs w:val="28"/>
              </w:rPr>
            </w:pPr>
            <w:r w:rsidRPr="00BB6F8A">
              <w:rPr>
                <w:rFonts w:ascii="David" w:hAnsi="David"/>
                <w:sz w:val="28"/>
                <w:szCs w:val="28"/>
                <w:rtl/>
              </w:rPr>
              <w:t>לענין סעיף 28 - בעת הגשת ההצעה להביע אי אמון בממשלה;</w:t>
            </w:r>
          </w:p>
          <w:p w14:paraId="6EC8FE82" w14:textId="77777777" w:rsidR="00855158" w:rsidRPr="00BB6F8A" w:rsidRDefault="00855158" w:rsidP="00D4026B">
            <w:pPr>
              <w:pStyle w:val="af"/>
              <w:widowControl w:val="0"/>
              <w:numPr>
                <w:ilvl w:val="0"/>
                <w:numId w:val="21"/>
              </w:numPr>
              <w:spacing w:after="0" w:line="360" w:lineRule="auto"/>
              <w:rPr>
                <w:rFonts w:ascii="David" w:hAnsi="David"/>
                <w:sz w:val="28"/>
                <w:szCs w:val="28"/>
              </w:rPr>
            </w:pPr>
            <w:r w:rsidRPr="00BB6F8A">
              <w:rPr>
                <w:rFonts w:ascii="David" w:hAnsi="David"/>
                <w:sz w:val="28"/>
                <w:szCs w:val="28"/>
                <w:rtl/>
              </w:rPr>
              <w:t xml:space="preserve">לענין סעיף 29 – </w:t>
            </w:r>
            <w:r w:rsidRPr="00BB6F8A">
              <w:rPr>
                <w:rFonts w:hint="cs"/>
                <w:sz w:val="28"/>
                <w:szCs w:val="28"/>
                <w:rtl/>
              </w:rPr>
              <w:t>בעת הטלת התפקיד</w:t>
            </w:r>
            <w:r w:rsidRPr="00BB6F8A">
              <w:rPr>
                <w:rFonts w:ascii="David" w:hAnsi="David"/>
                <w:sz w:val="28"/>
                <w:szCs w:val="28"/>
                <w:rtl/>
              </w:rPr>
              <w:t>;</w:t>
            </w:r>
          </w:p>
          <w:p w14:paraId="2FD8C002" w14:textId="77777777" w:rsidR="00855158" w:rsidRPr="00BB6F8A" w:rsidRDefault="00855158" w:rsidP="00A42958">
            <w:pPr>
              <w:pStyle w:val="af"/>
              <w:widowControl w:val="0"/>
              <w:numPr>
                <w:ilvl w:val="0"/>
                <w:numId w:val="21"/>
              </w:numPr>
              <w:spacing w:after="0" w:line="360" w:lineRule="auto"/>
              <w:rPr>
                <w:rFonts w:ascii="David" w:hAnsi="David"/>
                <w:sz w:val="28"/>
                <w:szCs w:val="28"/>
              </w:rPr>
            </w:pPr>
            <w:r w:rsidRPr="00BB6F8A">
              <w:rPr>
                <w:rFonts w:ascii="David" w:hAnsi="David"/>
                <w:sz w:val="28"/>
                <w:szCs w:val="28"/>
                <w:rtl/>
              </w:rPr>
              <w:t xml:space="preserve">לענין השבעה כראש </w:t>
            </w:r>
            <w:r w:rsidR="005E1392">
              <w:rPr>
                <w:rFonts w:ascii="David" w:hAnsi="David" w:hint="cs"/>
                <w:sz w:val="28"/>
                <w:szCs w:val="28"/>
                <w:rtl/>
              </w:rPr>
              <w:t>ה</w:t>
            </w:r>
            <w:r w:rsidRPr="00BB6F8A">
              <w:rPr>
                <w:rFonts w:ascii="David" w:hAnsi="David"/>
                <w:sz w:val="28"/>
                <w:szCs w:val="28"/>
                <w:rtl/>
              </w:rPr>
              <w:t xml:space="preserve">ממשלה </w:t>
            </w:r>
            <w:r w:rsidR="005E1392">
              <w:rPr>
                <w:rFonts w:ascii="David" w:hAnsi="David" w:hint="cs"/>
                <w:sz w:val="28"/>
                <w:szCs w:val="28"/>
                <w:rtl/>
              </w:rPr>
              <w:t>ה</w:t>
            </w:r>
            <w:r w:rsidRPr="00BB6F8A">
              <w:rPr>
                <w:rFonts w:ascii="David" w:hAnsi="David"/>
                <w:sz w:val="28"/>
                <w:szCs w:val="28"/>
                <w:rtl/>
              </w:rPr>
              <w:t xml:space="preserve">חלופי לפי סעיף 13א – </w:t>
            </w:r>
            <w:r w:rsidR="00A42958">
              <w:rPr>
                <w:rFonts w:ascii="David" w:hAnsi="David" w:hint="cs"/>
                <w:sz w:val="28"/>
                <w:szCs w:val="28"/>
                <w:rtl/>
              </w:rPr>
              <w:t xml:space="preserve">במועד האמור </w:t>
            </w:r>
            <w:r w:rsidRPr="00BB6F8A">
              <w:rPr>
                <w:rFonts w:ascii="David" w:hAnsi="David"/>
                <w:sz w:val="28"/>
                <w:szCs w:val="28"/>
                <w:rtl/>
              </w:rPr>
              <w:t xml:space="preserve">בפסקה (1) </w:t>
            </w:r>
            <w:r w:rsidR="00A42958">
              <w:rPr>
                <w:rFonts w:ascii="David" w:hAnsi="David" w:hint="cs"/>
                <w:sz w:val="28"/>
                <w:szCs w:val="28"/>
                <w:rtl/>
              </w:rPr>
              <w:t xml:space="preserve">בקשר לכינון ממשלה בשל התקיימות בחירות לכנסת </w:t>
            </w:r>
            <w:r w:rsidRPr="00BB6F8A">
              <w:rPr>
                <w:rFonts w:ascii="David" w:hAnsi="David"/>
                <w:sz w:val="28"/>
                <w:szCs w:val="28"/>
                <w:rtl/>
              </w:rPr>
              <w:t>או ב</w:t>
            </w:r>
            <w:r w:rsidR="00A42958">
              <w:rPr>
                <w:rFonts w:ascii="David" w:hAnsi="David" w:hint="cs"/>
                <w:sz w:val="28"/>
                <w:szCs w:val="28"/>
                <w:rtl/>
              </w:rPr>
              <w:t>מועד כינון הממשלה</w:t>
            </w:r>
            <w:r w:rsidRPr="00BB6F8A">
              <w:rPr>
                <w:rFonts w:ascii="David" w:hAnsi="David"/>
                <w:sz w:val="28"/>
                <w:szCs w:val="28"/>
                <w:rtl/>
              </w:rPr>
              <w:t xml:space="preserve"> </w:t>
            </w:r>
            <w:r w:rsidR="00A42958">
              <w:rPr>
                <w:rFonts w:ascii="David" w:hAnsi="David" w:hint="cs"/>
                <w:sz w:val="28"/>
                <w:szCs w:val="28"/>
                <w:rtl/>
              </w:rPr>
              <w:t>שבה הוא עתיד להיות מושבע כראש הממשלה החלופי בקשר לכינון ממשלה בשל הווצרות עילה אחרת</w:t>
            </w:r>
            <w:r w:rsidRPr="00BB6F8A">
              <w:rPr>
                <w:rFonts w:ascii="David" w:hAnsi="David"/>
                <w:sz w:val="28"/>
                <w:szCs w:val="28"/>
                <w:rtl/>
              </w:rPr>
              <w:t>.</w:t>
            </w:r>
            <w:r w:rsidR="006F6CC4">
              <w:rPr>
                <w:rFonts w:ascii="David" w:hAnsi="David" w:hint="cs"/>
                <w:sz w:val="28"/>
                <w:szCs w:val="28"/>
                <w:rtl/>
              </w:rPr>
              <w:t>".</w:t>
            </w:r>
          </w:p>
          <w:p w14:paraId="294ACD17" w14:textId="77777777" w:rsidR="00855158" w:rsidRPr="00F1190C" w:rsidRDefault="00855158" w:rsidP="00855158">
            <w:pPr>
              <w:pStyle w:val="TableBlock"/>
              <w:ind w:left="720"/>
              <w:rPr>
                <w:sz w:val="28"/>
                <w:szCs w:val="28"/>
              </w:rPr>
            </w:pPr>
          </w:p>
        </w:tc>
      </w:tr>
    </w:tbl>
    <w:p w14:paraId="7386FEE5" w14:textId="77777777" w:rsidR="00346EE8" w:rsidRPr="00D4026B" w:rsidRDefault="00EE0EF4" w:rsidP="007A48B1">
      <w:pPr>
        <w:rPr>
          <w:sz w:val="16"/>
          <w:szCs w:val="16"/>
          <w:rtl/>
        </w:rPr>
      </w:pPr>
      <w:r w:rsidRPr="00D4026B">
        <w:rPr>
          <w:rFonts w:hint="cs"/>
          <w:sz w:val="16"/>
          <w:szCs w:val="16"/>
          <w:rtl/>
        </w:rPr>
        <w:t>***</w:t>
      </w:r>
    </w:p>
    <w:p w14:paraId="1CED7F7E" w14:textId="77777777" w:rsidR="00F24901" w:rsidRPr="00D00464" w:rsidRDefault="00F24901" w:rsidP="00D00464"/>
    <w:sectPr w:rsidR="00F24901" w:rsidRPr="00D00464" w:rsidSect="00346EE8">
      <w:headerReference w:type="even" r:id="rId7"/>
      <w:headerReference w:type="default" r:id="rId8"/>
      <w:headerReference w:type="first" r:id="rId9"/>
      <w:pgSz w:w="11906" w:h="16838"/>
      <w:pgMar w:top="1134" w:right="1134" w:bottom="1134" w:left="113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1D05E" w14:textId="77777777" w:rsidR="00911908" w:rsidRDefault="00911908" w:rsidP="00AE3199">
      <w:pPr>
        <w:spacing w:after="0" w:line="240" w:lineRule="auto"/>
      </w:pPr>
      <w:r>
        <w:separator/>
      </w:r>
    </w:p>
  </w:endnote>
  <w:endnote w:type="continuationSeparator" w:id="0">
    <w:p w14:paraId="3F0E3177" w14:textId="77777777" w:rsidR="00911908" w:rsidRDefault="00911908" w:rsidP="00AE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1FF3" w14:textId="77777777" w:rsidR="00911908" w:rsidRDefault="00911908" w:rsidP="00AE3199">
      <w:pPr>
        <w:spacing w:after="0" w:line="240" w:lineRule="auto"/>
      </w:pPr>
      <w:r>
        <w:separator/>
      </w:r>
    </w:p>
  </w:footnote>
  <w:footnote w:type="continuationSeparator" w:id="0">
    <w:p w14:paraId="532907B6" w14:textId="77777777" w:rsidR="00911908" w:rsidRDefault="00911908" w:rsidP="00AE3199">
      <w:pPr>
        <w:spacing w:after="0" w:line="240" w:lineRule="auto"/>
      </w:pPr>
      <w:r>
        <w:continuationSeparator/>
      </w:r>
    </w:p>
  </w:footnote>
  <w:footnote w:id="1">
    <w:p w14:paraId="11A4BE8E" w14:textId="77777777" w:rsidR="00CC4BF5" w:rsidRPr="00307630" w:rsidRDefault="00CC4BF5" w:rsidP="00CC4BF5">
      <w:pPr>
        <w:pStyle w:val="a5"/>
      </w:pPr>
      <w:r w:rsidRPr="00307630">
        <w:rPr>
          <w:rStyle w:val="a7"/>
        </w:rPr>
        <w:footnoteRef/>
      </w:r>
      <w:r w:rsidRPr="00307630">
        <w:rPr>
          <w:rtl/>
        </w:rPr>
        <w:t xml:space="preserve"> </w:t>
      </w:r>
      <w:r w:rsidRPr="00307630">
        <w:rPr>
          <w:rtl/>
        </w:rPr>
        <w:tab/>
      </w:r>
      <w:r w:rsidRPr="00307630">
        <w:rPr>
          <w:rFonts w:hint="cs"/>
          <w:rtl/>
        </w:rPr>
        <w:t xml:space="preserve">יצחק זמיר </w:t>
      </w:r>
      <w:r>
        <w:rPr>
          <w:rFonts w:hint="cs"/>
          <w:rtl/>
        </w:rPr>
        <w:t>"</w:t>
      </w:r>
      <w:r w:rsidRPr="00307630">
        <w:rPr>
          <w:rFonts w:hint="cs"/>
          <w:rtl/>
        </w:rPr>
        <w:t>הקדמה</w:t>
      </w:r>
      <w:r>
        <w:rPr>
          <w:rFonts w:hint="cs"/>
          <w:rtl/>
        </w:rPr>
        <w:t>"</w:t>
      </w:r>
      <w:r w:rsidRPr="00307630">
        <w:rPr>
          <w:rFonts w:hint="cs"/>
          <w:rtl/>
        </w:rPr>
        <w:t xml:space="preserve"> </w:t>
      </w:r>
      <w:r w:rsidRPr="004C1E63">
        <w:rPr>
          <w:rFonts w:hint="eastAsia"/>
          <w:b/>
          <w:bCs/>
          <w:rtl/>
        </w:rPr>
        <w:t>אחריות</w:t>
      </w:r>
      <w:r w:rsidRPr="004C1E63">
        <w:rPr>
          <w:b/>
          <w:bCs/>
          <w:rtl/>
        </w:rPr>
        <w:t xml:space="preserve"> </w:t>
      </w:r>
      <w:r w:rsidRPr="004C1E63">
        <w:rPr>
          <w:rFonts w:hint="eastAsia"/>
          <w:b/>
          <w:bCs/>
          <w:rtl/>
        </w:rPr>
        <w:t>ציבורית</w:t>
      </w:r>
      <w:r w:rsidRPr="004C1E63">
        <w:rPr>
          <w:b/>
          <w:bCs/>
          <w:rtl/>
        </w:rPr>
        <w:t xml:space="preserve"> </w:t>
      </w:r>
      <w:r w:rsidRPr="004C1E63">
        <w:rPr>
          <w:rFonts w:hint="eastAsia"/>
          <w:b/>
          <w:bCs/>
          <w:rtl/>
        </w:rPr>
        <w:t>בישראל</w:t>
      </w:r>
      <w:r w:rsidRPr="00307630">
        <w:rPr>
          <w:rFonts w:hint="cs"/>
          <w:rtl/>
        </w:rPr>
        <w:t xml:space="preserve"> 7</w:t>
      </w:r>
      <w:r>
        <w:rPr>
          <w:rFonts w:hint="cs"/>
          <w:rtl/>
        </w:rPr>
        <w:t>, 7 (רפאל כהן-אלמגור, אורי ארבל-גנץ ואסא כשר עורכים, 2012)</w:t>
      </w:r>
      <w:r w:rsidRPr="00307630">
        <w:rPr>
          <w:rFonts w:hint="cs"/>
          <w:rtl/>
        </w:rPr>
        <w:t>.</w:t>
      </w:r>
    </w:p>
  </w:footnote>
  <w:footnote w:id="2">
    <w:p w14:paraId="782F125E" w14:textId="77777777" w:rsidR="00CC4BF5" w:rsidRPr="00307630" w:rsidRDefault="00CC4BF5" w:rsidP="00CC4BF5">
      <w:pPr>
        <w:pStyle w:val="a5"/>
      </w:pPr>
      <w:r w:rsidRPr="00307630">
        <w:rPr>
          <w:rStyle w:val="a7"/>
        </w:rPr>
        <w:footnoteRef/>
      </w:r>
      <w:r w:rsidRPr="00307630">
        <w:rPr>
          <w:rtl/>
        </w:rPr>
        <w:t xml:space="preserve"> </w:t>
      </w:r>
      <w:r w:rsidRPr="00307630">
        <w:rPr>
          <w:rtl/>
        </w:rPr>
        <w:tab/>
      </w:r>
      <w:r w:rsidRPr="00307630">
        <w:rPr>
          <w:rFonts w:hint="cs"/>
          <w:rtl/>
        </w:rPr>
        <w:t xml:space="preserve">בג"צ 436/66 </w:t>
      </w:r>
      <w:r w:rsidRPr="00307630">
        <w:rPr>
          <w:rFonts w:hint="cs"/>
          <w:b/>
          <w:bCs/>
          <w:rtl/>
        </w:rPr>
        <w:t>בן-אהרון נ' ראש המועצה המקומית פרדסיה</w:t>
      </w:r>
      <w:r w:rsidRPr="00307630">
        <w:rPr>
          <w:rFonts w:hint="cs"/>
          <w:rtl/>
        </w:rPr>
        <w:t>, פ"ד כא(1) 561, 564 (1967).</w:t>
      </w:r>
    </w:p>
  </w:footnote>
  <w:footnote w:id="3">
    <w:p w14:paraId="40E0969C" w14:textId="77777777" w:rsidR="008A2122" w:rsidRPr="00307630" w:rsidRDefault="008A2122" w:rsidP="008A2122">
      <w:pPr>
        <w:pStyle w:val="a5"/>
        <w:rPr>
          <w:rtl/>
        </w:rPr>
      </w:pPr>
      <w:r w:rsidRPr="00307630">
        <w:rPr>
          <w:rStyle w:val="a7"/>
        </w:rPr>
        <w:footnoteRef/>
      </w:r>
      <w:r w:rsidRPr="00307630">
        <w:rPr>
          <w:rtl/>
        </w:rPr>
        <w:t xml:space="preserve"> </w:t>
      </w:r>
      <w:r w:rsidRPr="00307630">
        <w:rPr>
          <w:rtl/>
        </w:rPr>
        <w:tab/>
        <w:t xml:space="preserve">בג"ץ 3094/93 </w:t>
      </w:r>
      <w:r w:rsidRPr="00307630">
        <w:rPr>
          <w:rFonts w:ascii="David" w:hAnsi="David"/>
          <w:b/>
          <w:bCs/>
          <w:spacing w:val="6"/>
          <w:rtl/>
        </w:rPr>
        <w:t>התנועה למען איכות השלטון</w:t>
      </w:r>
      <w:r>
        <w:rPr>
          <w:rFonts w:ascii="David" w:hAnsi="David" w:hint="cs"/>
          <w:b/>
          <w:bCs/>
          <w:spacing w:val="6"/>
          <w:rtl/>
        </w:rPr>
        <w:t xml:space="preserve"> בישראל</w:t>
      </w:r>
      <w:r w:rsidRPr="00307630">
        <w:rPr>
          <w:rFonts w:ascii="David" w:hAnsi="David"/>
          <w:b/>
          <w:bCs/>
          <w:spacing w:val="6"/>
          <w:rtl/>
        </w:rPr>
        <w:t xml:space="preserve"> נ</w:t>
      </w:r>
      <w:r w:rsidRPr="00307630">
        <w:rPr>
          <w:rFonts w:ascii="David" w:hAnsi="David" w:hint="cs"/>
          <w:b/>
          <w:bCs/>
          <w:spacing w:val="6"/>
          <w:rtl/>
        </w:rPr>
        <w:t>'</w:t>
      </w:r>
      <w:r w:rsidRPr="00307630">
        <w:rPr>
          <w:rFonts w:ascii="David" w:hAnsi="David"/>
          <w:b/>
          <w:bCs/>
          <w:spacing w:val="6"/>
          <w:rtl/>
        </w:rPr>
        <w:t xml:space="preserve"> ממשלת ישראל</w:t>
      </w:r>
      <w:r>
        <w:rPr>
          <w:rFonts w:ascii="David" w:hAnsi="David" w:hint="cs"/>
          <w:b/>
          <w:bCs/>
          <w:spacing w:val="6"/>
          <w:rtl/>
        </w:rPr>
        <w:t>,</w:t>
      </w:r>
      <w:r w:rsidRPr="00307630">
        <w:rPr>
          <w:rFonts w:ascii="David" w:hAnsi="David"/>
          <w:b/>
          <w:bCs/>
          <w:spacing w:val="6"/>
          <w:rtl/>
        </w:rPr>
        <w:t xml:space="preserve"> </w:t>
      </w:r>
      <w:r>
        <w:rPr>
          <w:rFonts w:ascii="David" w:hAnsi="David" w:hint="cs"/>
          <w:spacing w:val="6"/>
          <w:rtl/>
        </w:rPr>
        <w:t>פ"ד</w:t>
      </w:r>
      <w:r w:rsidRPr="00307630">
        <w:rPr>
          <w:rFonts w:ascii="David" w:hAnsi="David"/>
          <w:spacing w:val="6"/>
          <w:rtl/>
        </w:rPr>
        <w:t xml:space="preserve"> מז</w:t>
      </w:r>
      <w:r w:rsidRPr="00307630">
        <w:rPr>
          <w:rFonts w:ascii="David" w:hAnsi="David" w:hint="cs"/>
          <w:spacing w:val="6"/>
          <w:rtl/>
        </w:rPr>
        <w:t>(5) 404, 422</w:t>
      </w:r>
      <w:r>
        <w:rPr>
          <w:rFonts w:ascii="David" w:hAnsi="David" w:hint="cs"/>
          <w:spacing w:val="6"/>
          <w:rtl/>
        </w:rPr>
        <w:t>, 467</w:t>
      </w:r>
      <w:r w:rsidRPr="00307630">
        <w:rPr>
          <w:rFonts w:ascii="David" w:hAnsi="David" w:hint="cs"/>
          <w:spacing w:val="6"/>
          <w:rtl/>
        </w:rPr>
        <w:t xml:space="preserve"> (1993)</w:t>
      </w:r>
      <w:r>
        <w:rPr>
          <w:rFonts w:ascii="David" w:hAnsi="David" w:hint="cs"/>
          <w:spacing w:val="6"/>
          <w:rtl/>
        </w:rPr>
        <w:t>;</w:t>
      </w:r>
      <w:r w:rsidRPr="00307630">
        <w:rPr>
          <w:rFonts w:ascii="David" w:hAnsi="David"/>
          <w:rtl/>
        </w:rPr>
        <w:t xml:space="preserve"> בג"ץ 4267/93 </w:t>
      </w:r>
      <w:r w:rsidRPr="00307630">
        <w:rPr>
          <w:rFonts w:ascii="David" w:hAnsi="David"/>
          <w:b/>
          <w:bCs/>
          <w:rtl/>
        </w:rPr>
        <w:t>אמיתי – אזרחים למען מינהל תקין וטוהר המידות נ' ראש ממשלת ישראל</w:t>
      </w:r>
      <w:r w:rsidRPr="00307630">
        <w:rPr>
          <w:rFonts w:ascii="David" w:hAnsi="David"/>
          <w:rtl/>
        </w:rPr>
        <w:t>, פ"ד מז(5) 441</w:t>
      </w:r>
      <w:r w:rsidRPr="00307630">
        <w:rPr>
          <w:rFonts w:ascii="David" w:hAnsi="David" w:hint="cs"/>
          <w:rtl/>
        </w:rPr>
        <w:t xml:space="preserve"> (1993)</w:t>
      </w:r>
      <w:r w:rsidRPr="00307630">
        <w:rPr>
          <w:rFonts w:hint="cs"/>
          <w:rtl/>
        </w:rPr>
        <w:t>.</w:t>
      </w:r>
    </w:p>
  </w:footnote>
  <w:footnote w:id="4">
    <w:p w14:paraId="02FEBF42" w14:textId="77777777" w:rsidR="00AE3199" w:rsidRDefault="00AE3199" w:rsidP="008F35E6">
      <w:pPr>
        <w:pStyle w:val="a5"/>
      </w:pPr>
      <w:r>
        <w:rPr>
          <w:rStyle w:val="a7"/>
        </w:rPr>
        <w:footnoteRef/>
      </w:r>
      <w:r>
        <w:rPr>
          <w:rtl/>
        </w:rPr>
        <w:t xml:space="preserve"> </w:t>
      </w:r>
      <w:r>
        <w:rPr>
          <w:rFonts w:hint="cs"/>
          <w:rtl/>
        </w:rPr>
        <w:t>ס"ח התשס"א</w:t>
      </w:r>
      <w:r w:rsidR="008F35E6">
        <w:rPr>
          <w:rFonts w:hint="cs"/>
          <w:rtl/>
        </w:rPr>
        <w:t>, עמ' 158; התשפ"א</w:t>
      </w:r>
      <w:r w:rsidRPr="00CB4884">
        <w:rPr>
          <w:rFonts w:hint="cs"/>
          <w:rtl/>
        </w:rPr>
        <w:t xml:space="preserve">, עמ' </w:t>
      </w:r>
      <w:r w:rsidR="008F35E6">
        <w:rPr>
          <w:rFonts w:hint="cs"/>
          <w:rtl/>
        </w:rPr>
        <w:t>382</w:t>
      </w:r>
      <w:r w:rsidRPr="00CB488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5FB2" w14:textId="77777777" w:rsidR="00366A1A" w:rsidRDefault="00911908">
    <w:pPr>
      <w:pStyle w:val="a9"/>
    </w:pPr>
    <w:r>
      <w:rPr>
        <w:noProof/>
      </w:rPr>
      <w:pict w14:anchorId="4F68B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02001" o:spid="_x0000_s2050" type="#_x0000_t136" style="position:absolute;left:0;text-align:left;margin-left:0;margin-top:0;width:566.2pt;height:113.2pt;rotation:315;z-index:-251655168;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2E36" w14:textId="77777777" w:rsidR="00366A1A" w:rsidRDefault="00911908">
    <w:pPr>
      <w:pStyle w:val="a9"/>
    </w:pPr>
    <w:r>
      <w:rPr>
        <w:noProof/>
      </w:rPr>
      <w:pict w14:anchorId="7FE04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02002" o:spid="_x0000_s2051" type="#_x0000_t136" style="position:absolute;left:0;text-align:left;margin-left:0;margin-top:0;width:566.2pt;height:113.2pt;rotation:315;z-index:-251653120;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0847" w14:textId="77777777" w:rsidR="00366A1A" w:rsidRDefault="00911908">
    <w:pPr>
      <w:pStyle w:val="a9"/>
    </w:pPr>
    <w:r>
      <w:rPr>
        <w:noProof/>
      </w:rPr>
      <w:pict w14:anchorId="5978F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02000" o:spid="_x0000_s2049" type="#_x0000_t136" style="position:absolute;left:0;text-align:left;margin-left:0;margin-top:0;width:566.2pt;height:113.2pt;rotation:315;z-index:-251657216;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A64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C6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9A8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F06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6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567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C2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B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2A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2B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A3F18"/>
    <w:multiLevelType w:val="hybridMultilevel"/>
    <w:tmpl w:val="DFFA005E"/>
    <w:lvl w:ilvl="0" w:tplc="131CA17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D5734"/>
    <w:multiLevelType w:val="hybridMultilevel"/>
    <w:tmpl w:val="51349858"/>
    <w:lvl w:ilvl="0" w:tplc="8C0ACB8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C22A1"/>
    <w:multiLevelType w:val="hybridMultilevel"/>
    <w:tmpl w:val="D77A0C1E"/>
    <w:lvl w:ilvl="0" w:tplc="ECAAFF04">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4C592D87"/>
    <w:multiLevelType w:val="hybridMultilevel"/>
    <w:tmpl w:val="43AA2D2C"/>
    <w:lvl w:ilvl="0" w:tplc="DCE49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5A2B35"/>
    <w:multiLevelType w:val="hybridMultilevel"/>
    <w:tmpl w:val="F61ADD04"/>
    <w:lvl w:ilvl="0" w:tplc="EFC26F30">
      <w:start w:val="1"/>
      <w:numFmt w:val="hebrew1"/>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57728A"/>
    <w:multiLevelType w:val="hybridMultilevel"/>
    <w:tmpl w:val="DA627D64"/>
    <w:lvl w:ilvl="0" w:tplc="75B8A5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100D4"/>
    <w:multiLevelType w:val="hybridMultilevel"/>
    <w:tmpl w:val="604A8F54"/>
    <w:lvl w:ilvl="0" w:tplc="F4086CA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6F16751E"/>
    <w:multiLevelType w:val="hybridMultilevel"/>
    <w:tmpl w:val="F28C6E9C"/>
    <w:lvl w:ilvl="0" w:tplc="B4800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D1B1A"/>
    <w:multiLevelType w:val="hybridMultilevel"/>
    <w:tmpl w:val="C958D93C"/>
    <w:lvl w:ilvl="0" w:tplc="03227624">
      <w:start w:val="1"/>
      <w:numFmt w:val="hebrew1"/>
      <w:lvlRestart w:val="0"/>
      <w:lvlText w:val="(%1)"/>
      <w:lvlJc w:val="left"/>
      <w:pPr>
        <w:tabs>
          <w:tab w:val="num" w:pos="964"/>
        </w:tabs>
        <w:ind w:left="340" w:firstLine="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C90F51"/>
    <w:multiLevelType w:val="hybridMultilevel"/>
    <w:tmpl w:val="733AF6E8"/>
    <w:lvl w:ilvl="0" w:tplc="E03AA0EE">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A364D"/>
    <w:multiLevelType w:val="hybridMultilevel"/>
    <w:tmpl w:val="6958BDCC"/>
    <w:lvl w:ilvl="0" w:tplc="C3181F0C">
      <w:start w:val="1"/>
      <w:numFmt w:val="decimal"/>
      <w:lvlText w:val="(%1)"/>
      <w:lvlJc w:val="left"/>
      <w:pPr>
        <w:ind w:left="1060" w:hanging="360"/>
      </w:pPr>
      <w:rPr>
        <w:rFonts w:ascii="Arial" w:hAnsi="Arial" w:cs="Aria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7E677CF2"/>
    <w:multiLevelType w:val="hybridMultilevel"/>
    <w:tmpl w:val="6B8C48D2"/>
    <w:lvl w:ilvl="0" w:tplc="BF2EC926">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1"/>
  </w:num>
  <w:num w:numId="2">
    <w:abstractNumId w:val="16"/>
  </w:num>
  <w:num w:numId="3">
    <w:abstractNumId w:val="16"/>
    <w:lvlOverride w:ilvl="0">
      <w:startOverride w:val="1"/>
    </w:lvlOverride>
  </w:num>
  <w:num w:numId="4">
    <w:abstractNumId w:val="0"/>
  </w:num>
  <w:num w:numId="5">
    <w:abstractNumId w:val="12"/>
  </w:num>
  <w:num w:numId="6">
    <w:abstractNumId w:val="22"/>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3"/>
  </w:num>
  <w:num w:numId="20">
    <w:abstractNumId w:val="25"/>
  </w:num>
  <w:num w:numId="21">
    <w:abstractNumId w:val="10"/>
  </w:num>
  <w:num w:numId="22">
    <w:abstractNumId w:val="18"/>
  </w:num>
  <w:num w:numId="23">
    <w:abstractNumId w:val="15"/>
  </w:num>
  <w:num w:numId="24">
    <w:abstractNumId w:val="24"/>
  </w:num>
  <w:num w:numId="25">
    <w:abstractNumId w:val="19"/>
  </w:num>
  <w:num w:numId="26">
    <w:abstractNumId w:val="17"/>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8"/>
    <w:rsid w:val="000349B0"/>
    <w:rsid w:val="00045639"/>
    <w:rsid w:val="0005577C"/>
    <w:rsid w:val="0007064D"/>
    <w:rsid w:val="000738EF"/>
    <w:rsid w:val="00082A17"/>
    <w:rsid w:val="00084584"/>
    <w:rsid w:val="00084F8E"/>
    <w:rsid w:val="000955F7"/>
    <w:rsid w:val="00096CC3"/>
    <w:rsid w:val="000A411F"/>
    <w:rsid w:val="000C47ED"/>
    <w:rsid w:val="000D1B6F"/>
    <w:rsid w:val="001008B3"/>
    <w:rsid w:val="00112383"/>
    <w:rsid w:val="001332AA"/>
    <w:rsid w:val="001372EA"/>
    <w:rsid w:val="00143229"/>
    <w:rsid w:val="00154532"/>
    <w:rsid w:val="0017030D"/>
    <w:rsid w:val="0017045B"/>
    <w:rsid w:val="00172B42"/>
    <w:rsid w:val="00181C6A"/>
    <w:rsid w:val="00191194"/>
    <w:rsid w:val="001919B9"/>
    <w:rsid w:val="00192372"/>
    <w:rsid w:val="0019377F"/>
    <w:rsid w:val="001B5AFB"/>
    <w:rsid w:val="001D5ECE"/>
    <w:rsid w:val="001D6BAD"/>
    <w:rsid w:val="00206E3B"/>
    <w:rsid w:val="0021364F"/>
    <w:rsid w:val="002471DC"/>
    <w:rsid w:val="002509A0"/>
    <w:rsid w:val="002549F9"/>
    <w:rsid w:val="00287CEC"/>
    <w:rsid w:val="002B00FC"/>
    <w:rsid w:val="002C61A9"/>
    <w:rsid w:val="002D1B95"/>
    <w:rsid w:val="002D706D"/>
    <w:rsid w:val="002F4719"/>
    <w:rsid w:val="003079D5"/>
    <w:rsid w:val="00313404"/>
    <w:rsid w:val="00346EE8"/>
    <w:rsid w:val="00366A1A"/>
    <w:rsid w:val="003A4BA7"/>
    <w:rsid w:val="003B5CD5"/>
    <w:rsid w:val="003D6B4F"/>
    <w:rsid w:val="003D6EF5"/>
    <w:rsid w:val="003F2895"/>
    <w:rsid w:val="003F57A8"/>
    <w:rsid w:val="003F7FC5"/>
    <w:rsid w:val="004013F5"/>
    <w:rsid w:val="00440A5A"/>
    <w:rsid w:val="004B61FD"/>
    <w:rsid w:val="004C62F8"/>
    <w:rsid w:val="004E59DA"/>
    <w:rsid w:val="004F6ACD"/>
    <w:rsid w:val="00511173"/>
    <w:rsid w:val="00512539"/>
    <w:rsid w:val="00570B2F"/>
    <w:rsid w:val="0059759D"/>
    <w:rsid w:val="005E1392"/>
    <w:rsid w:val="005E2E5E"/>
    <w:rsid w:val="005F25FE"/>
    <w:rsid w:val="005F6598"/>
    <w:rsid w:val="00610438"/>
    <w:rsid w:val="00623F6F"/>
    <w:rsid w:val="00634994"/>
    <w:rsid w:val="006445DD"/>
    <w:rsid w:val="0066513E"/>
    <w:rsid w:val="006822CF"/>
    <w:rsid w:val="006B08A0"/>
    <w:rsid w:val="006B3CA6"/>
    <w:rsid w:val="006C3921"/>
    <w:rsid w:val="006C52C0"/>
    <w:rsid w:val="006F6CC4"/>
    <w:rsid w:val="007014F8"/>
    <w:rsid w:val="007362C4"/>
    <w:rsid w:val="00750630"/>
    <w:rsid w:val="007741A6"/>
    <w:rsid w:val="00793FDE"/>
    <w:rsid w:val="007B26CD"/>
    <w:rsid w:val="007C63FD"/>
    <w:rsid w:val="007F6B61"/>
    <w:rsid w:val="00805454"/>
    <w:rsid w:val="00814001"/>
    <w:rsid w:val="0082731D"/>
    <w:rsid w:val="00845615"/>
    <w:rsid w:val="00851B31"/>
    <w:rsid w:val="00855158"/>
    <w:rsid w:val="0088434D"/>
    <w:rsid w:val="008A2122"/>
    <w:rsid w:val="008A3A09"/>
    <w:rsid w:val="008F35E6"/>
    <w:rsid w:val="00911908"/>
    <w:rsid w:val="009539FE"/>
    <w:rsid w:val="009639B2"/>
    <w:rsid w:val="00977092"/>
    <w:rsid w:val="00993AED"/>
    <w:rsid w:val="009D7A80"/>
    <w:rsid w:val="00A143B6"/>
    <w:rsid w:val="00A30136"/>
    <w:rsid w:val="00A31200"/>
    <w:rsid w:val="00A42958"/>
    <w:rsid w:val="00A44D18"/>
    <w:rsid w:val="00A56893"/>
    <w:rsid w:val="00A578EE"/>
    <w:rsid w:val="00A82C8E"/>
    <w:rsid w:val="00A85444"/>
    <w:rsid w:val="00A85CEC"/>
    <w:rsid w:val="00A85DE3"/>
    <w:rsid w:val="00A870EE"/>
    <w:rsid w:val="00A87816"/>
    <w:rsid w:val="00A96F3D"/>
    <w:rsid w:val="00AA6228"/>
    <w:rsid w:val="00AE156D"/>
    <w:rsid w:val="00AE3199"/>
    <w:rsid w:val="00AF093F"/>
    <w:rsid w:val="00B177ED"/>
    <w:rsid w:val="00B31066"/>
    <w:rsid w:val="00B52AF4"/>
    <w:rsid w:val="00B53055"/>
    <w:rsid w:val="00B7654A"/>
    <w:rsid w:val="00B768DC"/>
    <w:rsid w:val="00B835CB"/>
    <w:rsid w:val="00BA61A0"/>
    <w:rsid w:val="00BB3A8A"/>
    <w:rsid w:val="00BB6F8A"/>
    <w:rsid w:val="00BD73A0"/>
    <w:rsid w:val="00BF4757"/>
    <w:rsid w:val="00BF6BBA"/>
    <w:rsid w:val="00C005BF"/>
    <w:rsid w:val="00C03AAF"/>
    <w:rsid w:val="00C517F7"/>
    <w:rsid w:val="00C54F2F"/>
    <w:rsid w:val="00C63855"/>
    <w:rsid w:val="00C66E46"/>
    <w:rsid w:val="00CA4417"/>
    <w:rsid w:val="00CA5F31"/>
    <w:rsid w:val="00CC4BF5"/>
    <w:rsid w:val="00CC77E9"/>
    <w:rsid w:val="00CD7854"/>
    <w:rsid w:val="00CE3426"/>
    <w:rsid w:val="00D00464"/>
    <w:rsid w:val="00D03294"/>
    <w:rsid w:val="00D17038"/>
    <w:rsid w:val="00D33568"/>
    <w:rsid w:val="00D4026B"/>
    <w:rsid w:val="00D53B42"/>
    <w:rsid w:val="00D555E7"/>
    <w:rsid w:val="00D66624"/>
    <w:rsid w:val="00DA0547"/>
    <w:rsid w:val="00DB2746"/>
    <w:rsid w:val="00DB6A98"/>
    <w:rsid w:val="00DC3363"/>
    <w:rsid w:val="00DE18CC"/>
    <w:rsid w:val="00E40AD3"/>
    <w:rsid w:val="00E77876"/>
    <w:rsid w:val="00EA7177"/>
    <w:rsid w:val="00EC136D"/>
    <w:rsid w:val="00EC1611"/>
    <w:rsid w:val="00EC5CB9"/>
    <w:rsid w:val="00EE0EF4"/>
    <w:rsid w:val="00EF3448"/>
    <w:rsid w:val="00F00352"/>
    <w:rsid w:val="00F1190C"/>
    <w:rsid w:val="00F24901"/>
    <w:rsid w:val="00F2738E"/>
    <w:rsid w:val="00F831F0"/>
    <w:rsid w:val="00F91B2C"/>
    <w:rsid w:val="00F946ED"/>
    <w:rsid w:val="00FA149F"/>
    <w:rsid w:val="00FA6ADC"/>
    <w:rsid w:val="00FF7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368BB4"/>
  <w15:chartTrackingRefBased/>
  <w15:docId w15:val="{17A2C7C1-4541-4867-84FB-A07AC2D3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EE8"/>
    <w:pPr>
      <w:widowControl w:val="0"/>
      <w:bidi/>
      <w:spacing w:after="16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346EE8"/>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346EE8"/>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346EE8"/>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346EE8"/>
    <w:pPr>
      <w:spacing w:before="40" w:after="120"/>
      <w:ind w:left="0"/>
      <w:outlineLvl w:val="3"/>
    </w:pPr>
    <w:rPr>
      <w:b/>
      <w:bCs/>
      <w:color w:val="000000" w:themeColor="text1"/>
      <w:szCs w:val="28"/>
    </w:rPr>
  </w:style>
  <w:style w:type="paragraph" w:styleId="5">
    <w:name w:val="heading 5"/>
    <w:basedOn w:val="a"/>
    <w:next w:val="a"/>
    <w:link w:val="50"/>
    <w:uiPriority w:val="9"/>
    <w:unhideWhenUsed/>
    <w:qFormat/>
    <w:rsid w:val="00346EE8"/>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46EE8"/>
    <w:rPr>
      <w:rFonts w:asciiTheme="majorHAnsi" w:eastAsiaTheme="majorEastAsia" w:hAnsiTheme="majorHAnsi" w:cs="David"/>
      <w:bCs/>
      <w:sz w:val="32"/>
      <w:szCs w:val="36"/>
    </w:rPr>
  </w:style>
  <w:style w:type="character" w:customStyle="1" w:styleId="40">
    <w:name w:val="כותרת 4 תו"/>
    <w:basedOn w:val="a0"/>
    <w:link w:val="4"/>
    <w:uiPriority w:val="9"/>
    <w:rsid w:val="00346EE8"/>
    <w:rPr>
      <w:rFonts w:ascii="David" w:hAnsi="David" w:cs="David"/>
      <w:b/>
      <w:bCs/>
      <w:color w:val="000000" w:themeColor="text1"/>
      <w:sz w:val="24"/>
      <w:szCs w:val="28"/>
    </w:rPr>
  </w:style>
  <w:style w:type="character" w:customStyle="1" w:styleId="50">
    <w:name w:val="כותרת 5 תו"/>
    <w:basedOn w:val="a0"/>
    <w:link w:val="5"/>
    <w:uiPriority w:val="9"/>
    <w:rsid w:val="00346EE8"/>
    <w:rPr>
      <w:rFonts w:ascii="David" w:hAnsi="David" w:cs="David"/>
      <w:color w:val="000000" w:themeColor="text1"/>
      <w:sz w:val="24"/>
      <w:szCs w:val="24"/>
    </w:rPr>
  </w:style>
  <w:style w:type="paragraph" w:customStyle="1" w:styleId="TableText">
    <w:name w:val="Table Text"/>
    <w:basedOn w:val="a"/>
    <w:rsid w:val="00346EE8"/>
    <w:pPr>
      <w:keepLines/>
      <w:tabs>
        <w:tab w:val="left" w:pos="624"/>
        <w:tab w:val="left" w:pos="1247"/>
      </w:tabs>
      <w:snapToGrid w:val="0"/>
      <w:spacing w:after="0"/>
      <w:ind w:left="0"/>
      <w:jc w:val="left"/>
    </w:pPr>
    <w:rPr>
      <w:rFonts w:ascii="Arial" w:eastAsia="Arial Unicode MS" w:hAnsi="Arial"/>
      <w:snapToGrid w:val="0"/>
      <w:sz w:val="20"/>
      <w:szCs w:val="26"/>
    </w:rPr>
  </w:style>
  <w:style w:type="paragraph" w:customStyle="1" w:styleId="TableSideHeading">
    <w:name w:val="Table SideHeading"/>
    <w:basedOn w:val="TableText"/>
    <w:rsid w:val="00346EE8"/>
    <w:pPr>
      <w:outlineLvl w:val="2"/>
    </w:pPr>
  </w:style>
  <w:style w:type="paragraph" w:customStyle="1" w:styleId="TableBlock">
    <w:name w:val="Table Block"/>
    <w:basedOn w:val="TableText"/>
    <w:rsid w:val="00346EE8"/>
    <w:pPr>
      <w:jc w:val="both"/>
    </w:pPr>
  </w:style>
  <w:style w:type="paragraph" w:customStyle="1" w:styleId="TableHead">
    <w:name w:val="Table Head"/>
    <w:basedOn w:val="TableText"/>
    <w:rsid w:val="00346EE8"/>
    <w:pPr>
      <w:jc w:val="center"/>
      <w:outlineLvl w:val="1"/>
    </w:pPr>
    <w:rPr>
      <w:b/>
      <w:bCs/>
    </w:rPr>
  </w:style>
  <w:style w:type="paragraph" w:customStyle="1" w:styleId="HeadMitparsemetBaze">
    <w:name w:val="Head MitparsemetBaze"/>
    <w:basedOn w:val="a"/>
    <w:rsid w:val="00346EE8"/>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346EE8"/>
    <w:pPr>
      <w:keepNext/>
      <w:keepLines/>
      <w:snapToGrid w:val="0"/>
      <w:spacing w:before="240"/>
      <w:jc w:val="center"/>
      <w:outlineLvl w:val="0"/>
    </w:pPr>
    <w:rPr>
      <w:rFonts w:ascii="Arial" w:eastAsia="Arial Unicode MS" w:hAnsi="Arial"/>
      <w:b/>
      <w:bCs/>
      <w:snapToGrid w:val="0"/>
      <w:sz w:val="20"/>
      <w:szCs w:val="26"/>
    </w:rPr>
  </w:style>
  <w:style w:type="character" w:customStyle="1" w:styleId="20">
    <w:name w:val="כותרת 2 תו"/>
    <w:basedOn w:val="a0"/>
    <w:link w:val="2"/>
    <w:rsid w:val="00346EE8"/>
    <w:rPr>
      <w:rFonts w:asciiTheme="majorHAnsi" w:eastAsiaTheme="majorEastAsia" w:hAnsiTheme="majorHAnsi" w:cs="David"/>
      <w:bCs/>
      <w:sz w:val="26"/>
      <w:szCs w:val="36"/>
      <w:u w:val="single"/>
    </w:rPr>
  </w:style>
  <w:style w:type="character" w:customStyle="1" w:styleId="30">
    <w:name w:val="כותרת 3 תו"/>
    <w:basedOn w:val="a0"/>
    <w:link w:val="3"/>
    <w:rsid w:val="00346EE8"/>
    <w:rPr>
      <w:rFonts w:asciiTheme="majorHAnsi" w:eastAsiaTheme="majorEastAsia" w:hAnsiTheme="majorHAnsi" w:cs="David"/>
      <w:sz w:val="24"/>
      <w:szCs w:val="28"/>
      <w:u w:val="double"/>
    </w:rPr>
  </w:style>
  <w:style w:type="paragraph" w:customStyle="1" w:styleId="HeadHatzaotHok4Futer">
    <w:name w:val="Head HatzaotHok4Futer"/>
    <w:basedOn w:val="HeadHatzaotHok"/>
    <w:rsid w:val="00346EE8"/>
    <w:pPr>
      <w:spacing w:before="120" w:after="120"/>
    </w:pPr>
    <w:rPr>
      <w:color w:val="FF0000"/>
      <w:w w:val="80"/>
    </w:rPr>
  </w:style>
  <w:style w:type="paragraph" w:styleId="a3">
    <w:name w:val="endnote text"/>
    <w:basedOn w:val="a"/>
    <w:link w:val="a4"/>
    <w:semiHidden/>
    <w:rsid w:val="00346EE8"/>
    <w:pPr>
      <w:ind w:left="227" w:hanging="227"/>
    </w:pPr>
    <w:rPr>
      <w:sz w:val="14"/>
      <w:szCs w:val="22"/>
    </w:rPr>
  </w:style>
  <w:style w:type="character" w:customStyle="1" w:styleId="a4">
    <w:name w:val="טקסט הערת סיום תו"/>
    <w:basedOn w:val="a0"/>
    <w:link w:val="a3"/>
    <w:semiHidden/>
    <w:rsid w:val="00346EE8"/>
    <w:rPr>
      <w:rFonts w:ascii="David" w:hAnsi="David" w:cs="David"/>
      <w:sz w:val="14"/>
    </w:rPr>
  </w:style>
  <w:style w:type="paragraph" w:customStyle="1" w:styleId="TableInnerSideHeading">
    <w:name w:val="Table InnerSideHeading"/>
    <w:basedOn w:val="TableSideHeading"/>
    <w:rsid w:val="00346EE8"/>
    <w:pPr>
      <w:outlineLvl w:val="9"/>
    </w:pPr>
  </w:style>
  <w:style w:type="paragraph" w:customStyle="1" w:styleId="Hesber">
    <w:name w:val="Hesber"/>
    <w:basedOn w:val="a"/>
    <w:rsid w:val="00346EE8"/>
    <w:pPr>
      <w:snapToGrid w:val="0"/>
    </w:pPr>
    <w:rPr>
      <w:rFonts w:ascii="Arial" w:eastAsia="Arial Unicode MS" w:hAnsi="Arial"/>
      <w:snapToGrid w:val="0"/>
      <w:sz w:val="20"/>
      <w:szCs w:val="26"/>
    </w:rPr>
  </w:style>
  <w:style w:type="paragraph" w:styleId="a5">
    <w:name w:val="footnote text"/>
    <w:aliases w:val="Char Char Char,Char Char1,Char Char,תו Char,Char Char11,Char Char2,Char Char Char1"/>
    <w:basedOn w:val="a"/>
    <w:link w:val="a6"/>
    <w:autoRedefine/>
    <w:qFormat/>
    <w:rsid w:val="00346EE8"/>
    <w:pPr>
      <w:snapToGrid w:val="0"/>
      <w:spacing w:line="240" w:lineRule="auto"/>
      <w:ind w:left="227" w:hanging="227"/>
      <w:jc w:val="left"/>
    </w:pPr>
    <w:rPr>
      <w:rFonts w:ascii="Arial" w:eastAsia="Arial Unicode MS" w:hAnsi="Arial"/>
      <w:snapToGrid w:val="0"/>
      <w:sz w:val="14"/>
      <w:szCs w:val="20"/>
    </w:rPr>
  </w:style>
  <w:style w:type="character" w:customStyle="1" w:styleId="a6">
    <w:name w:val="טקסט הערת שוליים תו"/>
    <w:aliases w:val="Char Char Char תו,Char Char1 תו,Char Char תו,תו Char תו,Char Char11 תו,Char Char2 תו,Char Char Char1 תו"/>
    <w:basedOn w:val="a0"/>
    <w:link w:val="a5"/>
    <w:rsid w:val="00346EE8"/>
    <w:rPr>
      <w:rFonts w:ascii="Arial" w:eastAsia="Arial Unicode MS" w:hAnsi="Arial" w:cs="David"/>
      <w:snapToGrid w:val="0"/>
      <w:sz w:val="14"/>
      <w:szCs w:val="20"/>
    </w:rPr>
  </w:style>
  <w:style w:type="character" w:styleId="a7">
    <w:name w:val="footnote reference"/>
    <w:aliases w:val="Footnote Reference"/>
    <w:basedOn w:val="a0"/>
    <w:rsid w:val="00346EE8"/>
    <w:rPr>
      <w:vertAlign w:val="superscript"/>
    </w:rPr>
  </w:style>
  <w:style w:type="paragraph" w:customStyle="1" w:styleId="HesberHeading">
    <w:name w:val="Hesber Heading"/>
    <w:basedOn w:val="Hesber"/>
    <w:rsid w:val="00346EE8"/>
    <w:pPr>
      <w:tabs>
        <w:tab w:val="left" w:pos="624"/>
        <w:tab w:val="left" w:pos="1247"/>
      </w:tabs>
    </w:pPr>
    <w:rPr>
      <w:b/>
      <w:bCs/>
    </w:rPr>
  </w:style>
  <w:style w:type="paragraph" w:customStyle="1" w:styleId="HesberWriters">
    <w:name w:val="Hesber Writers"/>
    <w:basedOn w:val="Hesber"/>
    <w:rsid w:val="00346EE8"/>
    <w:pPr>
      <w:spacing w:before="120" w:after="6000"/>
      <w:ind w:left="1418"/>
      <w:jc w:val="right"/>
    </w:pPr>
    <w:rPr>
      <w:b/>
      <w:bCs/>
    </w:rPr>
  </w:style>
  <w:style w:type="paragraph" w:customStyle="1" w:styleId="Hesber1st">
    <w:name w:val="Hesber 1st"/>
    <w:basedOn w:val="Hesber"/>
    <w:rsid w:val="00346EE8"/>
    <w:pPr>
      <w:tabs>
        <w:tab w:val="left" w:pos="680"/>
        <w:tab w:val="left" w:pos="1020"/>
      </w:tabs>
    </w:pPr>
  </w:style>
  <w:style w:type="character" w:styleId="a8">
    <w:name w:val="endnote reference"/>
    <w:basedOn w:val="a0"/>
    <w:semiHidden/>
    <w:rsid w:val="00346EE8"/>
    <w:rPr>
      <w:vertAlign w:val="superscript"/>
    </w:rPr>
  </w:style>
  <w:style w:type="paragraph" w:customStyle="1" w:styleId="TableBlockOutdent">
    <w:name w:val="Table BlockOutdent"/>
    <w:basedOn w:val="TableBlock"/>
    <w:rsid w:val="00346EE8"/>
    <w:pPr>
      <w:ind w:left="624" w:hanging="624"/>
    </w:pPr>
  </w:style>
  <w:style w:type="paragraph" w:styleId="a9">
    <w:name w:val="header"/>
    <w:basedOn w:val="a"/>
    <w:link w:val="aa"/>
    <w:rsid w:val="00346EE8"/>
    <w:pPr>
      <w:tabs>
        <w:tab w:val="center" w:pos="4153"/>
        <w:tab w:val="right" w:pos="8306"/>
      </w:tabs>
    </w:pPr>
  </w:style>
  <w:style w:type="character" w:customStyle="1" w:styleId="aa">
    <w:name w:val="כותרת עליונה תו"/>
    <w:basedOn w:val="a0"/>
    <w:link w:val="a9"/>
    <w:rsid w:val="00346EE8"/>
    <w:rPr>
      <w:rFonts w:ascii="David" w:hAnsi="David" w:cs="David"/>
      <w:sz w:val="24"/>
      <w:szCs w:val="24"/>
    </w:rPr>
  </w:style>
  <w:style w:type="paragraph" w:styleId="ab">
    <w:name w:val="footer"/>
    <w:basedOn w:val="a"/>
    <w:link w:val="ac"/>
    <w:rsid w:val="00346EE8"/>
    <w:pPr>
      <w:tabs>
        <w:tab w:val="center" w:pos="4153"/>
        <w:tab w:val="right" w:pos="8306"/>
      </w:tabs>
    </w:pPr>
  </w:style>
  <w:style w:type="character" w:customStyle="1" w:styleId="ac">
    <w:name w:val="כותרת תחתונה תו"/>
    <w:basedOn w:val="a0"/>
    <w:link w:val="ab"/>
    <w:rsid w:val="00346EE8"/>
    <w:rPr>
      <w:rFonts w:ascii="David" w:hAnsi="David" w:cs="David"/>
      <w:sz w:val="24"/>
      <w:szCs w:val="24"/>
    </w:rPr>
  </w:style>
  <w:style w:type="paragraph" w:customStyle="1" w:styleId="HeadDivreiHesber">
    <w:name w:val="Head DivreiHesber"/>
    <w:basedOn w:val="a"/>
    <w:rsid w:val="00346EE8"/>
    <w:pPr>
      <w:snapToGrid w:val="0"/>
      <w:spacing w:before="360" w:after="120"/>
      <w:jc w:val="center"/>
      <w:outlineLvl w:val="1"/>
    </w:pPr>
    <w:rPr>
      <w:rFonts w:ascii="Arial" w:eastAsia="Arial Unicode MS" w:hAnsi="Arial"/>
      <w:b/>
      <w:snapToGrid w:val="0"/>
      <w:spacing w:val="40"/>
      <w:sz w:val="20"/>
      <w:szCs w:val="26"/>
    </w:rPr>
  </w:style>
  <w:style w:type="character" w:styleId="ad">
    <w:name w:val="page number"/>
    <w:basedOn w:val="a0"/>
    <w:rsid w:val="00346EE8"/>
  </w:style>
  <w:style w:type="paragraph" w:customStyle="1" w:styleId="Cover1-Reshumot">
    <w:name w:val="Cover 1-Reshumot"/>
    <w:basedOn w:val="a"/>
    <w:rsid w:val="00346EE8"/>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346EE8"/>
    <w:rPr>
      <w:sz w:val="36"/>
      <w:szCs w:val="52"/>
    </w:rPr>
  </w:style>
  <w:style w:type="paragraph" w:customStyle="1" w:styleId="Cover3-Haknesset">
    <w:name w:val="Cover 3-Haknesset"/>
    <w:basedOn w:val="Cover1-Reshumot"/>
    <w:rsid w:val="00346EE8"/>
    <w:rPr>
      <w:b/>
      <w:bCs/>
      <w:spacing w:val="60"/>
    </w:rPr>
  </w:style>
  <w:style w:type="paragraph" w:customStyle="1" w:styleId="Cover4-Date">
    <w:name w:val="Cover 4-Date"/>
    <w:basedOn w:val="a"/>
    <w:rsid w:val="00346EE8"/>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346EE8"/>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346EE8"/>
    <w:pPr>
      <w:widowControl/>
      <w:spacing w:before="120" w:after="120"/>
      <w:outlineLvl w:val="9"/>
    </w:pPr>
    <w:rPr>
      <w:rtl/>
      <w:cs/>
    </w:rPr>
  </w:style>
  <w:style w:type="paragraph" w:styleId="TOC1">
    <w:name w:val="toc 1"/>
    <w:basedOn w:val="a"/>
    <w:next w:val="a"/>
    <w:autoRedefine/>
    <w:uiPriority w:val="39"/>
    <w:unhideWhenUsed/>
    <w:rsid w:val="00346EE8"/>
    <w:pPr>
      <w:tabs>
        <w:tab w:val="right" w:leader="dot" w:pos="9629"/>
      </w:tabs>
      <w:spacing w:after="100"/>
    </w:pPr>
    <w:rPr>
      <w:bCs/>
      <w:szCs w:val="22"/>
    </w:rPr>
  </w:style>
  <w:style w:type="paragraph" w:styleId="TOC2">
    <w:name w:val="toc 2"/>
    <w:basedOn w:val="a"/>
    <w:next w:val="a"/>
    <w:uiPriority w:val="39"/>
    <w:unhideWhenUsed/>
    <w:rsid w:val="00346EE8"/>
    <w:pPr>
      <w:tabs>
        <w:tab w:val="right" w:leader="dot" w:pos="9628"/>
      </w:tabs>
      <w:spacing w:after="100"/>
    </w:pPr>
    <w:rPr>
      <w:szCs w:val="22"/>
    </w:rPr>
  </w:style>
  <w:style w:type="character" w:styleId="Hyperlink">
    <w:name w:val="Hyperlink"/>
    <w:basedOn w:val="a0"/>
    <w:uiPriority w:val="99"/>
    <w:unhideWhenUsed/>
    <w:rsid w:val="00346EE8"/>
    <w:rPr>
      <w:color w:val="0000FF" w:themeColor="hyperlink"/>
      <w:u w:val="single"/>
    </w:rPr>
  </w:style>
  <w:style w:type="paragraph" w:styleId="TOC3">
    <w:name w:val="toc 3"/>
    <w:basedOn w:val="a"/>
    <w:next w:val="a"/>
    <w:uiPriority w:val="39"/>
    <w:unhideWhenUsed/>
    <w:rsid w:val="00346EE8"/>
    <w:pPr>
      <w:tabs>
        <w:tab w:val="right" w:leader="dot" w:pos="9629"/>
      </w:tabs>
      <w:spacing w:after="100"/>
      <w:ind w:left="567"/>
    </w:pPr>
    <w:rPr>
      <w:szCs w:val="22"/>
    </w:rPr>
  </w:style>
  <w:style w:type="paragraph" w:styleId="TOC4">
    <w:name w:val="toc 4"/>
    <w:basedOn w:val="a"/>
    <w:next w:val="a"/>
    <w:autoRedefine/>
    <w:unhideWhenUsed/>
    <w:qFormat/>
    <w:rsid w:val="00346EE8"/>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346EE8"/>
    <w:pPr>
      <w:tabs>
        <w:tab w:val="right" w:leader="dot" w:pos="9628"/>
      </w:tabs>
      <w:spacing w:after="100"/>
      <w:ind w:left="567"/>
    </w:pPr>
    <w:rPr>
      <w:szCs w:val="22"/>
    </w:rPr>
  </w:style>
  <w:style w:type="paragraph" w:styleId="TOC6">
    <w:name w:val="toc 6"/>
    <w:basedOn w:val="a"/>
    <w:next w:val="a"/>
    <w:autoRedefine/>
    <w:semiHidden/>
    <w:unhideWhenUsed/>
    <w:rsid w:val="00346EE8"/>
    <w:pPr>
      <w:spacing w:after="100"/>
      <w:ind w:left="850"/>
    </w:pPr>
  </w:style>
  <w:style w:type="paragraph" w:styleId="TOC7">
    <w:name w:val="toc 7"/>
    <w:basedOn w:val="a"/>
    <w:next w:val="a"/>
    <w:autoRedefine/>
    <w:semiHidden/>
    <w:unhideWhenUsed/>
    <w:rsid w:val="00346EE8"/>
    <w:pPr>
      <w:spacing w:after="100"/>
      <w:ind w:left="1020"/>
    </w:pPr>
  </w:style>
  <w:style w:type="paragraph" w:styleId="TOC8">
    <w:name w:val="toc 8"/>
    <w:basedOn w:val="a"/>
    <w:next w:val="a"/>
    <w:autoRedefine/>
    <w:semiHidden/>
    <w:unhideWhenUsed/>
    <w:rsid w:val="00346EE8"/>
    <w:pPr>
      <w:spacing w:after="100"/>
      <w:ind w:left="1190"/>
    </w:pPr>
  </w:style>
  <w:style w:type="paragraph" w:styleId="TOC9">
    <w:name w:val="toc 9"/>
    <w:basedOn w:val="a"/>
    <w:next w:val="a"/>
    <w:autoRedefine/>
    <w:semiHidden/>
    <w:unhideWhenUsed/>
    <w:rsid w:val="00346EE8"/>
    <w:pPr>
      <w:spacing w:after="100"/>
      <w:ind w:left="1360"/>
    </w:pPr>
  </w:style>
  <w:style w:type="paragraph" w:customStyle="1" w:styleId="TableHead2">
    <w:name w:val="Table Head2"/>
    <w:basedOn w:val="TableHead"/>
    <w:qFormat/>
    <w:rsid w:val="00346EE8"/>
    <w:pPr>
      <w:outlineLvl w:val="9"/>
    </w:pPr>
  </w:style>
  <w:style w:type="paragraph" w:customStyle="1" w:styleId="TableSideHeading2">
    <w:name w:val="Table SideHeading2"/>
    <w:basedOn w:val="TableSideHeading"/>
    <w:autoRedefine/>
    <w:qFormat/>
    <w:rsid w:val="00346EE8"/>
    <w:pPr>
      <w:keepLines w:val="0"/>
      <w:outlineLvl w:val="9"/>
    </w:pPr>
  </w:style>
  <w:style w:type="paragraph" w:customStyle="1" w:styleId="0">
    <w:name w:val="סגנון שורה ראשונה:  0  ס''מ"/>
    <w:basedOn w:val="2"/>
    <w:rsid w:val="00346EE8"/>
    <w:rPr>
      <w:rFonts w:eastAsia="Times New Roman"/>
    </w:rPr>
  </w:style>
  <w:style w:type="paragraph" w:styleId="af">
    <w:name w:val="List Paragraph"/>
    <w:basedOn w:val="a"/>
    <w:uiPriority w:val="34"/>
    <w:qFormat/>
    <w:rsid w:val="00346EE8"/>
    <w:pPr>
      <w:widowControl/>
      <w:spacing w:line="259" w:lineRule="auto"/>
    </w:pPr>
    <w:rPr>
      <w:rFonts w:asciiTheme="minorHAnsi" w:hAnsiTheme="minorHAnsi"/>
      <w:sz w:val="22"/>
    </w:rPr>
  </w:style>
  <w:style w:type="table" w:styleId="af0">
    <w:name w:val="Table Grid"/>
    <w:basedOn w:val="a1"/>
    <w:rsid w:val="00346EE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346EE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46EE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346EE8"/>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346EE8"/>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AE3199"/>
    <w:rPr>
      <w:sz w:val="16"/>
      <w:szCs w:val="16"/>
    </w:rPr>
  </w:style>
  <w:style w:type="paragraph" w:styleId="af3">
    <w:name w:val="annotation text"/>
    <w:basedOn w:val="a"/>
    <w:link w:val="af4"/>
    <w:uiPriority w:val="99"/>
    <w:semiHidden/>
    <w:unhideWhenUsed/>
    <w:rsid w:val="00AE3199"/>
    <w:pPr>
      <w:spacing w:after="0" w:line="240" w:lineRule="auto"/>
    </w:pPr>
    <w:rPr>
      <w:sz w:val="20"/>
      <w:szCs w:val="20"/>
    </w:rPr>
  </w:style>
  <w:style w:type="character" w:customStyle="1" w:styleId="af4">
    <w:name w:val="טקסט הערה תו"/>
    <w:basedOn w:val="a0"/>
    <w:link w:val="af3"/>
    <w:uiPriority w:val="99"/>
    <w:semiHidden/>
    <w:rsid w:val="00AE3199"/>
    <w:rPr>
      <w:rFonts w:ascii="David" w:hAnsi="David" w:cs="David"/>
      <w:sz w:val="20"/>
      <w:szCs w:val="20"/>
    </w:rPr>
  </w:style>
  <w:style w:type="paragraph" w:styleId="af5">
    <w:name w:val="Balloon Text"/>
    <w:basedOn w:val="a"/>
    <w:link w:val="af6"/>
    <w:uiPriority w:val="99"/>
    <w:semiHidden/>
    <w:unhideWhenUsed/>
    <w:rsid w:val="00AE3199"/>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AE3199"/>
    <w:rPr>
      <w:rFonts w:ascii="Tahoma" w:hAnsi="Tahoma" w:cs="Tahoma"/>
      <w:sz w:val="18"/>
      <w:szCs w:val="18"/>
    </w:rPr>
  </w:style>
  <w:style w:type="paragraph" w:styleId="af7">
    <w:name w:val="annotation subject"/>
    <w:basedOn w:val="af3"/>
    <w:next w:val="af3"/>
    <w:link w:val="af8"/>
    <w:uiPriority w:val="99"/>
    <w:semiHidden/>
    <w:unhideWhenUsed/>
    <w:rsid w:val="00610438"/>
    <w:pPr>
      <w:spacing w:after="160"/>
    </w:pPr>
    <w:rPr>
      <w:b/>
      <w:bCs/>
    </w:rPr>
  </w:style>
  <w:style w:type="character" w:customStyle="1" w:styleId="af8">
    <w:name w:val="נושא הערה תו"/>
    <w:basedOn w:val="af4"/>
    <w:link w:val="af7"/>
    <w:uiPriority w:val="99"/>
    <w:semiHidden/>
    <w:rsid w:val="00610438"/>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9709</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Eyal Zandberg</dc:creator>
  <cp:keywords/>
  <dc:description/>
  <cp:lastModifiedBy>Nadeem Abboud</cp:lastModifiedBy>
  <cp:revision>2</cp:revision>
  <cp:lastPrinted>2021-10-18T14:56:00Z</cp:lastPrinted>
  <dcterms:created xsi:type="dcterms:W3CDTF">2021-10-19T15:54:00Z</dcterms:created>
  <dcterms:modified xsi:type="dcterms:W3CDTF">2021-10-19T15:54:00Z</dcterms:modified>
</cp:coreProperties>
</file>