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FC4" w:rsidRPr="00B74FC4" w:rsidRDefault="00245F4A" w:rsidP="00B74FC4">
      <w:pPr>
        <w:tabs>
          <w:tab w:val="left" w:pos="800"/>
        </w:tabs>
        <w:jc w:val="center"/>
        <w:rPr>
          <w:rFonts w:ascii="Arial TUR" w:hAnsi="Arial TUR" w:cs="David"/>
          <w:b/>
          <w:bCs/>
          <w:color w:val="000080"/>
          <w:sz w:val="28"/>
          <w:szCs w:val="32"/>
          <w:u w:val="single"/>
          <w:rtl/>
        </w:rPr>
      </w:pPr>
      <w:bookmarkStart w:id="0" w:name="_GoBack"/>
      <w:bookmarkEnd w:id="0"/>
      <w:r w:rsidRPr="00C0549E">
        <w:rPr>
          <w:rFonts w:ascii="Arial TUR" w:hAnsi="Arial TUR" w:cs="David"/>
          <w:b/>
          <w:bCs/>
          <w:color w:val="000080"/>
          <w:spacing w:val="6"/>
          <w:sz w:val="28"/>
          <w:szCs w:val="32"/>
          <w:rtl/>
        </w:rPr>
        <w:t>בית המשפט העליון</w:t>
      </w:r>
    </w:p>
    <w:p w:rsidR="00971B8F" w:rsidRDefault="00245F4A" w:rsidP="0007600E">
      <w:pPr>
        <w:tabs>
          <w:tab w:val="left" w:pos="800"/>
        </w:tabs>
        <w:jc w:val="center"/>
        <w:rPr>
          <w:rFonts w:ascii="Arial TUR" w:hAnsi="Arial TUR" w:cs="David"/>
          <w:b/>
          <w:bCs/>
          <w:color w:val="000080"/>
          <w:sz w:val="28"/>
          <w:szCs w:val="32"/>
          <w:rtl/>
        </w:rPr>
      </w:pPr>
      <w:r w:rsidRPr="00692462">
        <w:rPr>
          <w:rFonts w:ascii="Arial TUR" w:hAnsi="Arial TUR" w:cs="David" w:hint="cs"/>
          <w:b/>
          <w:bCs/>
          <w:color w:val="000080"/>
          <w:sz w:val="28"/>
          <w:szCs w:val="32"/>
          <w:rtl/>
        </w:rPr>
        <w:t xml:space="preserve">הודעה לתקשורת  - </w:t>
      </w:r>
      <w:r w:rsidR="00B6570B">
        <w:rPr>
          <w:rFonts w:ascii="Arial TUR" w:hAnsi="Arial TUR" w:cs="David" w:hint="cs"/>
          <w:b/>
          <w:bCs/>
          <w:color w:val="000080"/>
          <w:sz w:val="28"/>
          <w:szCs w:val="32"/>
          <w:rtl/>
        </w:rPr>
        <w:t xml:space="preserve">פסק דין </w:t>
      </w:r>
      <w:r w:rsidR="00986C24">
        <w:rPr>
          <w:rFonts w:ascii="Arial TUR" w:hAnsi="Arial TUR" w:cs="David" w:hint="cs"/>
          <w:b/>
          <w:bCs/>
          <w:color w:val="000080"/>
          <w:sz w:val="28"/>
          <w:szCs w:val="32"/>
          <w:rtl/>
        </w:rPr>
        <w:t xml:space="preserve">בבג"ץ </w:t>
      </w:r>
      <w:r w:rsidR="0007600E">
        <w:rPr>
          <w:rFonts w:ascii="Arial TUR" w:hAnsi="Arial TUR" w:cs="David" w:hint="cs"/>
          <w:b/>
          <w:bCs/>
          <w:color w:val="000080"/>
          <w:sz w:val="28"/>
          <w:szCs w:val="32"/>
          <w:rtl/>
        </w:rPr>
        <w:t>11013/05 ו-10 הליכים קשורים</w:t>
      </w:r>
    </w:p>
    <w:p w:rsidR="00986C24" w:rsidRPr="007B3E56" w:rsidRDefault="00245F4A" w:rsidP="007B3E56">
      <w:pPr>
        <w:tabs>
          <w:tab w:val="left" w:pos="800"/>
        </w:tabs>
        <w:jc w:val="center"/>
        <w:rPr>
          <w:rFonts w:ascii="Arial TUR" w:hAnsi="Arial TUR" w:cs="David"/>
          <w:b/>
          <w:bCs/>
          <w:color w:val="000080"/>
          <w:sz w:val="24"/>
          <w:szCs w:val="28"/>
          <w:rtl/>
        </w:rPr>
      </w:pPr>
      <w:r w:rsidRPr="007B3E56">
        <w:rPr>
          <w:rFonts w:ascii="Arial TUR" w:hAnsi="Arial TUR" w:cs="David" w:hint="cs"/>
          <w:b/>
          <w:bCs/>
          <w:color w:val="000080"/>
          <w:sz w:val="24"/>
          <w:szCs w:val="28"/>
          <w:rtl/>
        </w:rPr>
        <w:t xml:space="preserve">בנושא הכרה לצורך חוק השבות בגיורים שנעשו בישראל בקהילות רפורמיות וקונסרבטיביות </w:t>
      </w:r>
    </w:p>
    <w:p w:rsidR="00986C24" w:rsidRPr="00765A09" w:rsidRDefault="00986C24" w:rsidP="00B6570B">
      <w:pPr>
        <w:pStyle w:val="Ruller40"/>
        <w:tabs>
          <w:tab w:val="clear" w:pos="800"/>
          <w:tab w:val="left" w:pos="90"/>
        </w:tabs>
        <w:rPr>
          <w:sz w:val="14"/>
          <w:szCs w:val="18"/>
          <w:rtl/>
        </w:rPr>
      </w:pPr>
    </w:p>
    <w:p w:rsidR="00B74FC4" w:rsidRPr="0091597B" w:rsidRDefault="00245F4A" w:rsidP="005F13B3">
      <w:pPr>
        <w:pStyle w:val="Ruller40"/>
        <w:rPr>
          <w:rFonts w:ascii="Century" w:hAnsi="Century"/>
          <w:rtl/>
        </w:rPr>
      </w:pPr>
      <w:r>
        <w:rPr>
          <w:rtl/>
        </w:rPr>
        <w:tab/>
      </w:r>
      <w:r w:rsidR="008736E1" w:rsidRPr="008922F5">
        <w:rPr>
          <w:rFonts w:hint="cs"/>
          <w:rtl/>
        </w:rPr>
        <w:t xml:space="preserve">בית המשפט העליון </w:t>
      </w:r>
      <w:r w:rsidR="0007600E">
        <w:rPr>
          <w:rFonts w:hint="cs"/>
          <w:rtl/>
        </w:rPr>
        <w:t xml:space="preserve">קיבל היום </w:t>
      </w:r>
      <w:r>
        <w:rPr>
          <w:rFonts w:hint="cs"/>
          <w:rtl/>
        </w:rPr>
        <w:t>בדעת רוב</w:t>
      </w:r>
      <w:r w:rsidR="0007600E">
        <w:rPr>
          <w:rFonts w:hint="cs"/>
          <w:rtl/>
        </w:rPr>
        <w:t xml:space="preserve"> </w:t>
      </w:r>
      <w:r w:rsidR="008579E8" w:rsidRPr="008922F5">
        <w:rPr>
          <w:rFonts w:hint="cs"/>
          <w:rtl/>
        </w:rPr>
        <w:t xml:space="preserve">(הנשיאה </w:t>
      </w:r>
      <w:r w:rsidR="008579E8" w:rsidRPr="008922F5">
        <w:rPr>
          <w:rFonts w:ascii="Century" w:hAnsi="Century" w:cs="Miriam" w:hint="cs"/>
          <w:b/>
          <w:spacing w:val="0"/>
          <w:szCs w:val="24"/>
          <w:rtl/>
        </w:rPr>
        <w:t>א' חיות</w:t>
      </w:r>
      <w:r w:rsidR="008579E8" w:rsidRPr="008922F5">
        <w:rPr>
          <w:rFonts w:hint="cs"/>
          <w:rtl/>
        </w:rPr>
        <w:t xml:space="preserve"> </w:t>
      </w:r>
      <w:r w:rsidR="0007600E">
        <w:rPr>
          <w:rFonts w:hint="cs"/>
          <w:rtl/>
        </w:rPr>
        <w:t xml:space="preserve">בהסכמת השופטים </w:t>
      </w:r>
      <w:r w:rsidR="0007600E" w:rsidRPr="0007600E">
        <w:rPr>
          <w:rFonts w:ascii="Century" w:hAnsi="Century" w:cs="Miriam" w:hint="cs"/>
          <w:b/>
          <w:spacing w:val="0"/>
          <w:szCs w:val="24"/>
          <w:rtl/>
        </w:rPr>
        <w:t>נ' הנדל</w:t>
      </w:r>
      <w:r w:rsidR="0007600E">
        <w:rPr>
          <w:rFonts w:hint="cs"/>
          <w:rtl/>
        </w:rPr>
        <w:t xml:space="preserve">, </w:t>
      </w:r>
      <w:r w:rsidR="0007600E" w:rsidRPr="0007600E">
        <w:rPr>
          <w:rFonts w:ascii="Century" w:hAnsi="Century" w:cs="Miriam" w:hint="cs"/>
          <w:b/>
          <w:spacing w:val="0"/>
          <w:szCs w:val="24"/>
          <w:rtl/>
        </w:rPr>
        <w:t>ע' פוגלמן</w:t>
      </w:r>
      <w:r w:rsidR="0007600E">
        <w:rPr>
          <w:rFonts w:hint="cs"/>
          <w:rtl/>
        </w:rPr>
        <w:t xml:space="preserve">, </w:t>
      </w:r>
      <w:r w:rsidR="0007600E" w:rsidRPr="0007600E">
        <w:rPr>
          <w:rFonts w:ascii="Century" w:hAnsi="Century" w:cs="Miriam" w:hint="cs"/>
          <w:b/>
          <w:spacing w:val="0"/>
          <w:szCs w:val="24"/>
          <w:rtl/>
        </w:rPr>
        <w:t>י' עמית</w:t>
      </w:r>
      <w:r>
        <w:rPr>
          <w:rFonts w:hint="cs"/>
          <w:rtl/>
        </w:rPr>
        <w:t>,</w:t>
      </w:r>
      <w:r w:rsidR="0007600E">
        <w:rPr>
          <w:rFonts w:hint="cs"/>
          <w:rtl/>
        </w:rPr>
        <w:t xml:space="preserve"> </w:t>
      </w:r>
      <w:r w:rsidR="0007600E" w:rsidRPr="0007600E">
        <w:rPr>
          <w:rFonts w:ascii="Century" w:hAnsi="Century" w:cs="Miriam" w:hint="cs"/>
          <w:b/>
          <w:spacing w:val="0"/>
          <w:szCs w:val="24"/>
          <w:rtl/>
        </w:rPr>
        <w:t>ד' ברק-ארז</w:t>
      </w:r>
      <w:r w:rsidR="0007600E">
        <w:rPr>
          <w:rFonts w:hint="cs"/>
          <w:rtl/>
        </w:rPr>
        <w:t xml:space="preserve">, </w:t>
      </w:r>
      <w:r w:rsidR="0007600E" w:rsidRPr="0007600E">
        <w:rPr>
          <w:rFonts w:ascii="Century" w:hAnsi="Century" w:cs="Miriam" w:hint="cs"/>
          <w:b/>
          <w:spacing w:val="0"/>
          <w:szCs w:val="24"/>
          <w:rtl/>
        </w:rPr>
        <w:t>ע' ברון</w:t>
      </w:r>
      <w:r w:rsidR="0007600E">
        <w:rPr>
          <w:rFonts w:hint="cs"/>
          <w:rtl/>
        </w:rPr>
        <w:t xml:space="preserve">, </w:t>
      </w:r>
      <w:r w:rsidR="0007600E" w:rsidRPr="0007600E">
        <w:rPr>
          <w:rFonts w:ascii="Century" w:hAnsi="Century" w:cs="Miriam" w:hint="cs"/>
          <w:b/>
          <w:spacing w:val="0"/>
          <w:szCs w:val="24"/>
          <w:rtl/>
        </w:rPr>
        <w:t>ג' קרא</w:t>
      </w:r>
      <w:r w:rsidR="0007600E" w:rsidRPr="0007600E">
        <w:rPr>
          <w:rFonts w:hint="cs"/>
          <w:rtl/>
        </w:rPr>
        <w:t xml:space="preserve"> </w:t>
      </w:r>
      <w:r w:rsidR="0007600E">
        <w:rPr>
          <w:rFonts w:hint="cs"/>
          <w:rtl/>
        </w:rPr>
        <w:t>ו-</w:t>
      </w:r>
      <w:r w:rsidR="0007600E" w:rsidRPr="0007600E">
        <w:rPr>
          <w:rFonts w:ascii="Century" w:hAnsi="Century" w:cs="Miriam" w:hint="cs"/>
          <w:b/>
          <w:spacing w:val="0"/>
          <w:szCs w:val="24"/>
          <w:rtl/>
        </w:rPr>
        <w:t>ד' מינץ</w:t>
      </w:r>
      <w:r w:rsidR="0007600E">
        <w:rPr>
          <w:rFonts w:hint="cs"/>
          <w:rtl/>
        </w:rPr>
        <w:t xml:space="preserve">) </w:t>
      </w:r>
      <w:r w:rsidR="00EB4CDA">
        <w:rPr>
          <w:rFonts w:hint="cs"/>
          <w:rtl/>
        </w:rPr>
        <w:t xml:space="preserve"> </w:t>
      </w:r>
      <w:r w:rsidR="0007600E">
        <w:rPr>
          <w:rFonts w:hint="cs"/>
          <w:rtl/>
        </w:rPr>
        <w:t>עתירות</w:t>
      </w:r>
      <w:r w:rsidR="008736E1" w:rsidRPr="008922F5">
        <w:rPr>
          <w:rFonts w:hint="cs"/>
          <w:rtl/>
        </w:rPr>
        <w:t xml:space="preserve"> </w:t>
      </w:r>
      <w:r w:rsidR="0007600E">
        <w:rPr>
          <w:rFonts w:hint="cs"/>
          <w:rtl/>
        </w:rPr>
        <w:t xml:space="preserve">שהוגשו לפני 15 שנה וקבע כי </w:t>
      </w:r>
      <w:r w:rsidR="00E2060D">
        <w:rPr>
          <w:rFonts w:ascii="Century" w:hAnsi="Century" w:hint="cs"/>
          <w:rtl/>
        </w:rPr>
        <w:t>לעניין חוק השבות</w:t>
      </w:r>
      <w:r w:rsidR="00E2060D">
        <w:rPr>
          <w:rFonts w:hint="cs"/>
          <w:rtl/>
        </w:rPr>
        <w:t xml:space="preserve"> </w:t>
      </w:r>
      <w:r w:rsidR="00EB4CDA">
        <w:rPr>
          <w:rFonts w:hint="cs"/>
          <w:rtl/>
        </w:rPr>
        <w:t xml:space="preserve">יש להכיר </w:t>
      </w:r>
      <w:r>
        <w:rPr>
          <w:rFonts w:ascii="FrankRuehl" w:hAnsi="FrankRuehl" w:hint="cs"/>
          <w:color w:val="000000"/>
          <w:sz w:val="28"/>
          <w:rtl/>
        </w:rPr>
        <w:t>כ</w:t>
      </w:r>
      <w:r>
        <w:rPr>
          <w:rFonts w:ascii="FrankRuehl" w:hAnsi="FrankRuehl"/>
          <w:color w:val="000000"/>
          <w:sz w:val="28"/>
          <w:rtl/>
        </w:rPr>
        <w:t>יהודים</w:t>
      </w:r>
      <w:r>
        <w:rPr>
          <w:rFonts w:ascii="Century" w:hAnsi="Century" w:hint="cs"/>
          <w:rtl/>
        </w:rPr>
        <w:t xml:space="preserve"> </w:t>
      </w:r>
      <w:r w:rsidR="00EB4CDA">
        <w:rPr>
          <w:rFonts w:hint="cs"/>
          <w:rtl/>
        </w:rPr>
        <w:t xml:space="preserve">במי </w:t>
      </w:r>
      <w:r w:rsidR="00EB4CDA">
        <w:rPr>
          <w:rFonts w:ascii="FrankRuehl" w:hAnsi="FrankRuehl"/>
          <w:color w:val="000000"/>
          <w:sz w:val="28"/>
          <w:rtl/>
        </w:rPr>
        <w:t>ש</w:t>
      </w:r>
      <w:r w:rsidR="007B3E56">
        <w:rPr>
          <w:rFonts w:ascii="FrankRuehl" w:hAnsi="FrankRuehl" w:hint="cs"/>
          <w:color w:val="000000"/>
          <w:sz w:val="28"/>
          <w:rtl/>
        </w:rPr>
        <w:t xml:space="preserve">במהלך שהותם בישראל כדין </w:t>
      </w:r>
      <w:r w:rsidR="00EB4CDA">
        <w:rPr>
          <w:rFonts w:ascii="FrankRuehl" w:hAnsi="FrankRuehl"/>
          <w:color w:val="000000"/>
          <w:sz w:val="28"/>
          <w:rtl/>
        </w:rPr>
        <w:t xml:space="preserve">עברו </w:t>
      </w:r>
      <w:r w:rsidR="00EB4CDA">
        <w:rPr>
          <w:rFonts w:ascii="FrankRuehl" w:hAnsi="FrankRuehl" w:hint="cs"/>
          <w:color w:val="000000"/>
          <w:sz w:val="28"/>
          <w:rtl/>
        </w:rPr>
        <w:t xml:space="preserve">גיור </w:t>
      </w:r>
      <w:r w:rsidR="00EB4CDA">
        <w:rPr>
          <w:rFonts w:ascii="FrankRuehl" w:hAnsi="FrankRuehl"/>
          <w:color w:val="000000"/>
          <w:sz w:val="28"/>
          <w:rtl/>
        </w:rPr>
        <w:t>בקהילה</w:t>
      </w:r>
      <w:r w:rsidR="007B3E56">
        <w:rPr>
          <w:rFonts w:ascii="FrankRuehl" w:hAnsi="FrankRuehl" w:hint="cs"/>
          <w:color w:val="000000"/>
          <w:sz w:val="28"/>
          <w:rtl/>
        </w:rPr>
        <w:t xml:space="preserve"> רפורמית או </w:t>
      </w:r>
      <w:r w:rsidR="00EB4CDA">
        <w:rPr>
          <w:rFonts w:ascii="FrankRuehl" w:hAnsi="FrankRuehl" w:hint="cs"/>
          <w:color w:val="000000"/>
          <w:sz w:val="28"/>
          <w:rtl/>
        </w:rPr>
        <w:t>קונסרבטיבי</w:t>
      </w:r>
      <w:r w:rsidR="00EB4CDA">
        <w:rPr>
          <w:rFonts w:ascii="FrankRuehl" w:hAnsi="FrankRuehl" w:hint="eastAsia"/>
          <w:color w:val="000000"/>
          <w:sz w:val="28"/>
          <w:rtl/>
        </w:rPr>
        <w:t>ת</w:t>
      </w:r>
      <w:r w:rsidR="00EB4CDA">
        <w:rPr>
          <w:rFonts w:ascii="Century" w:hAnsi="Century" w:hint="cs"/>
          <w:rtl/>
        </w:rPr>
        <w:t xml:space="preserve">. </w:t>
      </w:r>
      <w:r w:rsidR="00DD1F57">
        <w:rPr>
          <w:rFonts w:hint="cs"/>
          <w:rtl/>
        </w:rPr>
        <w:t xml:space="preserve">הכרעה </w:t>
      </w:r>
      <w:r w:rsidR="00DD1F57">
        <w:rPr>
          <w:rFonts w:ascii="Century" w:hAnsi="Century" w:hint="cs"/>
          <w:rtl/>
        </w:rPr>
        <w:t xml:space="preserve">זו </w:t>
      </w:r>
      <w:r w:rsidR="00DD1F57">
        <w:rPr>
          <w:rFonts w:hint="cs"/>
          <w:rtl/>
        </w:rPr>
        <w:t xml:space="preserve">מצומצמת לשאלה </w:t>
      </w:r>
      <w:r w:rsidR="00DD1F57">
        <w:rPr>
          <w:rFonts w:ascii="Century" w:hAnsi="Century" w:hint="cs"/>
          <w:rtl/>
        </w:rPr>
        <w:t>ה</w:t>
      </w:r>
      <w:r w:rsidR="00DD1F57" w:rsidRPr="00EB7D20">
        <w:rPr>
          <w:rFonts w:ascii="Century" w:hAnsi="Century" w:hint="cs"/>
          <w:rtl/>
        </w:rPr>
        <w:t>אזרחית-ציבורית</w:t>
      </w:r>
      <w:r w:rsidR="00DD1F57" w:rsidRPr="00EB7D20">
        <w:rPr>
          <w:rFonts w:hint="cs"/>
          <w:rtl/>
        </w:rPr>
        <w:t xml:space="preserve"> </w:t>
      </w:r>
      <w:r w:rsidR="00DD1F57">
        <w:rPr>
          <w:rFonts w:hint="cs"/>
          <w:rtl/>
        </w:rPr>
        <w:t>של הקניית מעמד מכוח חוק השבות ואינה עוסקת בשאלה דתית.</w:t>
      </w:r>
      <w:r w:rsidR="0007600E">
        <w:rPr>
          <w:rFonts w:hint="cs"/>
          <w:rtl/>
        </w:rPr>
        <w:t xml:space="preserve"> </w:t>
      </w:r>
      <w:r>
        <w:rPr>
          <w:rFonts w:ascii="FrankRuehl" w:hAnsi="FrankRuehl" w:hint="cs"/>
          <w:sz w:val="28"/>
          <w:rtl/>
        </w:rPr>
        <w:t>שמונת</w:t>
      </w:r>
      <w:r>
        <w:rPr>
          <w:rFonts w:ascii="Century" w:hAnsi="Century" w:hint="cs"/>
          <w:rtl/>
        </w:rPr>
        <w:t xml:space="preserve"> שופטי הרוב סברו כי לאחר </w:t>
      </w:r>
      <w:r w:rsidRPr="00B74FC4">
        <w:rPr>
          <w:rFonts w:ascii="Century" w:hAnsi="Century" w:hint="cs"/>
          <w:b/>
          <w:bCs/>
          <w:rtl/>
        </w:rPr>
        <w:t>למעלה מ-15 שנים</w:t>
      </w:r>
      <w:r w:rsidRPr="00B74FC4">
        <w:rPr>
          <w:rFonts w:ascii="Century" w:hAnsi="Century" w:hint="cs"/>
          <w:rtl/>
        </w:rPr>
        <w:t xml:space="preserve"> </w:t>
      </w:r>
      <w:r>
        <w:rPr>
          <w:rFonts w:ascii="Century" w:hAnsi="Century" w:hint="cs"/>
          <w:rtl/>
        </w:rPr>
        <w:t>שבהן בית המשפט המתין ללא הועיל להכרעת המחוקק</w:t>
      </w:r>
      <w:r w:rsidR="0091597B">
        <w:rPr>
          <w:rFonts w:ascii="Century" w:hAnsi="Century" w:hint="cs"/>
          <w:rtl/>
        </w:rPr>
        <w:t xml:space="preserve"> בסוגיה זו</w:t>
      </w:r>
      <w:r>
        <w:rPr>
          <w:rFonts w:ascii="Century" w:hAnsi="Century" w:hint="cs"/>
          <w:rtl/>
        </w:rPr>
        <w:t>, ונוכח העובדה שע</w:t>
      </w:r>
      <w:r>
        <w:rPr>
          <w:rFonts w:hint="cs"/>
          <w:rtl/>
        </w:rPr>
        <w:t>ל הכף מונחות הזכויות והמעמד של העותרים ושל אחרים כמותם</w:t>
      </w:r>
      <w:r w:rsidR="0091597B">
        <w:rPr>
          <w:rFonts w:hint="cs"/>
          <w:rtl/>
        </w:rPr>
        <w:t xml:space="preserve">, </w:t>
      </w:r>
      <w:r w:rsidR="00E2060D">
        <w:rPr>
          <w:rFonts w:ascii="Century" w:hAnsi="Century" w:hint="cs"/>
          <w:rtl/>
        </w:rPr>
        <w:t>אין מנוס מהכרעה שיפוטית</w:t>
      </w:r>
      <w:r w:rsidRPr="0055032B">
        <w:rPr>
          <w:rFonts w:ascii="Century" w:hAnsi="Century" w:hint="cs"/>
          <w:rtl/>
        </w:rPr>
        <w:t xml:space="preserve">. </w:t>
      </w:r>
      <w:r w:rsidR="0055032B" w:rsidRPr="0055032B">
        <w:rPr>
          <w:rFonts w:ascii="Century" w:hAnsi="Century"/>
          <w:rtl/>
        </w:rPr>
        <w:t xml:space="preserve">השופט </w:t>
      </w:r>
      <w:r w:rsidR="0055032B" w:rsidRPr="0055032B">
        <w:rPr>
          <w:rFonts w:ascii="Century" w:hAnsi="Century" w:cs="Miriam"/>
          <w:b/>
          <w:spacing w:val="0"/>
          <w:szCs w:val="24"/>
          <w:rtl/>
        </w:rPr>
        <w:t>נ' סולברג</w:t>
      </w:r>
      <w:r w:rsidR="0055032B" w:rsidRPr="0055032B">
        <w:rPr>
          <w:rFonts w:ascii="Century" w:hAnsi="Century"/>
          <w:rtl/>
        </w:rPr>
        <w:t>, בדעת יחיד, הסכים עם המסקנה המשפטית של פסק הדין</w:t>
      </w:r>
      <w:r w:rsidR="00574E9C">
        <w:rPr>
          <w:rFonts w:ascii="Century" w:hAnsi="Century" w:hint="cs"/>
          <w:rtl/>
        </w:rPr>
        <w:t>,</w:t>
      </w:r>
      <w:r w:rsidR="0055032B" w:rsidRPr="0055032B">
        <w:rPr>
          <w:rFonts w:ascii="Century" w:hAnsi="Century"/>
          <w:rtl/>
        </w:rPr>
        <w:t xml:space="preserve"> אך סבר כי יש להשהות את מועד כניסת פסק הדין לתוקף ב-12 חודשים מיום כינונה של הממשלה ה-36, כדי לנסות להימנע מטלאי על גבי טלאי, ולאפשר אסדרה חקיקתית לנושא הגיור</w:t>
      </w:r>
      <w:r w:rsidR="0055032B" w:rsidRPr="0055032B">
        <w:rPr>
          <w:rFonts w:ascii="Century" w:hAnsi="Century" w:hint="cs"/>
          <w:rtl/>
        </w:rPr>
        <w:t>, גיור ממלכתי כפי שהיה נהוג בעבר</w:t>
      </w:r>
      <w:r w:rsidR="0055032B" w:rsidRPr="0055032B">
        <w:rPr>
          <w:rFonts w:ascii="Century" w:hAnsi="Century"/>
        </w:rPr>
        <w:t>.</w:t>
      </w:r>
      <w:r w:rsidR="0055032B" w:rsidRPr="0055032B">
        <w:rPr>
          <w:rFonts w:ascii="Century" w:hAnsi="Century"/>
          <w:rtl/>
        </w:rPr>
        <w:t xml:space="preserve"> </w:t>
      </w:r>
      <w:r w:rsidR="00E86D74">
        <w:rPr>
          <w:rFonts w:ascii="Century" w:hAnsi="Century" w:hint="cs"/>
          <w:rtl/>
        </w:rPr>
        <w:t xml:space="preserve">לגישת השופט </w:t>
      </w:r>
      <w:r w:rsidR="00E86D74" w:rsidRPr="00E86D74">
        <w:rPr>
          <w:rFonts w:ascii="Century" w:hAnsi="Century" w:cs="Miriam" w:hint="cs"/>
          <w:b/>
          <w:spacing w:val="0"/>
          <w:szCs w:val="24"/>
          <w:rtl/>
        </w:rPr>
        <w:t>סולברג</w:t>
      </w:r>
      <w:r w:rsidR="00E86D74">
        <w:rPr>
          <w:rFonts w:ascii="Century" w:hAnsi="Century" w:hint="cs"/>
          <w:rtl/>
        </w:rPr>
        <w:t xml:space="preserve">, </w:t>
      </w:r>
      <w:r w:rsidR="0055032B" w:rsidRPr="0055032B">
        <w:rPr>
          <w:rFonts w:ascii="Century" w:hAnsi="Century"/>
          <w:rtl/>
        </w:rPr>
        <w:t xml:space="preserve">אם יחוקק חוק - </w:t>
      </w:r>
      <w:r w:rsidR="005F13B3" w:rsidRPr="005F13B3">
        <w:rPr>
          <w:rFonts w:ascii="Century" w:hAnsi="Century"/>
          <w:rtl/>
        </w:rPr>
        <w:t xml:space="preserve">יֵעַשֵׂה </w:t>
      </w:r>
      <w:r w:rsidR="0055032B" w:rsidRPr="0055032B">
        <w:rPr>
          <w:rFonts w:ascii="Century" w:hAnsi="Century"/>
          <w:rtl/>
        </w:rPr>
        <w:t xml:space="preserve">כדברו של המחוקק; אם לא - </w:t>
      </w:r>
      <w:r w:rsidR="005F13B3" w:rsidRPr="005F13B3">
        <w:rPr>
          <w:rFonts w:ascii="Century" w:hAnsi="Century"/>
          <w:rtl/>
        </w:rPr>
        <w:t>יֵעַשֵׂה</w:t>
      </w:r>
      <w:r w:rsidR="005F13B3">
        <w:rPr>
          <w:rFonts w:ascii="Century" w:hAnsi="Century"/>
          <w:rtl/>
        </w:rPr>
        <w:t xml:space="preserve"> </w:t>
      </w:r>
      <w:r w:rsidR="0055032B">
        <w:rPr>
          <w:rFonts w:ascii="Century" w:hAnsi="Century"/>
          <w:rtl/>
        </w:rPr>
        <w:t>כדברו של בית המשפט בפסק דין זה</w:t>
      </w:r>
      <w:r w:rsidR="00E2060D" w:rsidRPr="0055032B">
        <w:rPr>
          <w:rFonts w:ascii="Century" w:hAnsi="Century" w:hint="cs"/>
          <w:rtl/>
        </w:rPr>
        <w:t>.</w:t>
      </w:r>
    </w:p>
    <w:p w:rsidR="00EB4CDA" w:rsidRPr="00765A09" w:rsidRDefault="00EB4CDA" w:rsidP="00EB4CDA">
      <w:pPr>
        <w:pStyle w:val="Ruller40"/>
        <w:rPr>
          <w:rFonts w:ascii="Century" w:hAnsi="Century"/>
          <w:sz w:val="16"/>
          <w:szCs w:val="20"/>
          <w:rtl/>
        </w:rPr>
      </w:pPr>
    </w:p>
    <w:p w:rsidR="0007600E" w:rsidRDefault="00245F4A" w:rsidP="0091597B">
      <w:pPr>
        <w:pStyle w:val="Ruller40"/>
        <w:rPr>
          <w:rFonts w:ascii="Century" w:hAnsi="Century"/>
          <w:rtl/>
        </w:rPr>
      </w:pPr>
      <w:r>
        <w:rPr>
          <w:rFonts w:ascii="Century" w:hAnsi="Century"/>
          <w:rtl/>
        </w:rPr>
        <w:tab/>
      </w:r>
      <w:r w:rsidR="00E313A7">
        <w:rPr>
          <w:rFonts w:ascii="Century" w:hAnsi="Century" w:hint="cs"/>
          <w:rtl/>
        </w:rPr>
        <w:t xml:space="preserve">בשנת 1970 תיקנה הכנסת את חוק השבות והוסיפה לו את סעיף 4ב הקובע כי </w:t>
      </w:r>
      <w:r w:rsidR="00E313A7" w:rsidRPr="00E313A7">
        <w:rPr>
          <w:rFonts w:ascii="Century" w:hAnsi="Century" w:cs="Miriam" w:hint="cs"/>
          <w:b/>
          <w:spacing w:val="0"/>
          <w:szCs w:val="24"/>
          <w:rtl/>
        </w:rPr>
        <w:t>"לעניין חוק זה, "יהודי" - מי שנולד לאם יהודיה או שנתגייר, והוא אינו בן דת אחרת"</w:t>
      </w:r>
      <w:r w:rsidR="00E313A7">
        <w:rPr>
          <w:rFonts w:ascii="Century" w:hAnsi="Century" w:hint="cs"/>
          <w:rtl/>
        </w:rPr>
        <w:t>. הכנסת בח</w:t>
      </w:r>
      <w:r w:rsidR="0091597B">
        <w:rPr>
          <w:rFonts w:ascii="Century" w:hAnsi="Century" w:hint="cs"/>
          <w:rtl/>
        </w:rPr>
        <w:t xml:space="preserve">רה שלא לאמץ את הצעת חלק מחבריה </w:t>
      </w:r>
      <w:r w:rsidR="00E313A7">
        <w:rPr>
          <w:rFonts w:ascii="Century" w:hAnsi="Century" w:hint="cs"/>
          <w:rtl/>
        </w:rPr>
        <w:t xml:space="preserve">להוסיף </w:t>
      </w:r>
      <w:r w:rsidR="00B74FC4">
        <w:rPr>
          <w:rFonts w:ascii="Century" w:hAnsi="Century" w:hint="cs"/>
          <w:rtl/>
        </w:rPr>
        <w:t>למונח</w:t>
      </w:r>
      <w:r w:rsidR="00E313A7">
        <w:rPr>
          <w:rFonts w:ascii="Century" w:hAnsi="Century" w:hint="cs"/>
          <w:rtl/>
        </w:rPr>
        <w:t xml:space="preserve"> "שנתגייר" את המילים "לפי ההלכה" או "לפי הרבנות הראשית". </w:t>
      </w:r>
      <w:r>
        <w:rPr>
          <w:rFonts w:ascii="Century" w:hAnsi="Century" w:hint="cs"/>
          <w:rtl/>
        </w:rPr>
        <w:t xml:space="preserve">מאז </w:t>
      </w:r>
      <w:r w:rsidR="00E313A7">
        <w:rPr>
          <w:rFonts w:ascii="Century" w:hAnsi="Century" w:hint="cs"/>
          <w:rtl/>
        </w:rPr>
        <w:t>נדונו בבית המשפט העליון</w:t>
      </w:r>
      <w:r>
        <w:rPr>
          <w:rFonts w:ascii="Century" w:hAnsi="Century" w:hint="cs"/>
          <w:rtl/>
        </w:rPr>
        <w:t xml:space="preserve"> </w:t>
      </w:r>
      <w:r w:rsidR="00E313A7">
        <w:rPr>
          <w:rFonts w:ascii="Century" w:hAnsi="Century" w:hint="cs"/>
          <w:rtl/>
        </w:rPr>
        <w:t xml:space="preserve">הליכים </w:t>
      </w:r>
      <w:r w:rsidR="0091597B">
        <w:rPr>
          <w:rFonts w:ascii="Century" w:hAnsi="Century" w:hint="cs"/>
          <w:rtl/>
        </w:rPr>
        <w:t xml:space="preserve">רבים </w:t>
      </w:r>
      <w:r w:rsidR="00E313A7">
        <w:rPr>
          <w:rFonts w:ascii="Century" w:hAnsi="Century" w:hint="cs"/>
          <w:rtl/>
        </w:rPr>
        <w:t>שעסקו בפרשנות ה</w:t>
      </w:r>
      <w:r>
        <w:rPr>
          <w:rFonts w:ascii="Century" w:hAnsi="Century" w:hint="cs"/>
          <w:rtl/>
        </w:rPr>
        <w:t xml:space="preserve">מונח </w:t>
      </w:r>
      <w:r w:rsidR="00E313A7">
        <w:rPr>
          <w:rFonts w:ascii="Century" w:hAnsi="Century" w:hint="cs"/>
          <w:rtl/>
        </w:rPr>
        <w:t>"שנתגייר"</w:t>
      </w:r>
      <w:r>
        <w:rPr>
          <w:rFonts w:ascii="Century" w:hAnsi="Century" w:hint="cs"/>
          <w:rtl/>
        </w:rPr>
        <w:t>, ו</w:t>
      </w:r>
      <w:r w:rsidR="00E2060D">
        <w:rPr>
          <w:rFonts w:ascii="Century" w:hAnsi="Century" w:hint="cs"/>
          <w:rtl/>
        </w:rPr>
        <w:t xml:space="preserve">פעם אחר פעם </w:t>
      </w:r>
      <w:r w:rsidR="0091597B">
        <w:rPr>
          <w:rFonts w:ascii="Century" w:hAnsi="Century" w:hint="cs"/>
          <w:rtl/>
        </w:rPr>
        <w:t xml:space="preserve">קרא </w:t>
      </w:r>
      <w:r>
        <w:rPr>
          <w:rFonts w:ascii="Century" w:hAnsi="Century" w:hint="cs"/>
          <w:rtl/>
        </w:rPr>
        <w:t xml:space="preserve">בית המשפט </w:t>
      </w:r>
      <w:r w:rsidR="00B74FC4">
        <w:rPr>
          <w:rFonts w:ascii="Century" w:hAnsi="Century" w:hint="cs"/>
          <w:rtl/>
        </w:rPr>
        <w:t xml:space="preserve">לכנסת </w:t>
      </w:r>
      <w:r w:rsidR="00E313A7">
        <w:rPr>
          <w:rFonts w:ascii="Century" w:hAnsi="Century" w:hint="cs"/>
          <w:rtl/>
        </w:rPr>
        <w:t>לומר את דברה</w:t>
      </w:r>
      <w:r w:rsidR="0091597B">
        <w:rPr>
          <w:rFonts w:ascii="Century" w:hAnsi="Century" w:hint="cs"/>
          <w:rtl/>
        </w:rPr>
        <w:t xml:space="preserve"> בנושא</w:t>
      </w:r>
      <w:r w:rsidR="00E313A7">
        <w:rPr>
          <w:rFonts w:ascii="Century" w:hAnsi="Century" w:hint="cs"/>
          <w:rtl/>
        </w:rPr>
        <w:t>.</w:t>
      </w:r>
      <w:r>
        <w:rPr>
          <w:rFonts w:ascii="Century" w:hAnsi="Century" w:hint="cs"/>
          <w:rtl/>
        </w:rPr>
        <w:t xml:space="preserve"> </w:t>
      </w:r>
      <w:r w:rsidR="00E313A7">
        <w:rPr>
          <w:rFonts w:ascii="Century" w:hAnsi="Century" w:hint="cs"/>
          <w:rtl/>
        </w:rPr>
        <w:t xml:space="preserve">ואולם </w:t>
      </w:r>
      <w:r w:rsidR="00B74FC4">
        <w:rPr>
          <w:rFonts w:ascii="Century" w:hAnsi="Century" w:hint="cs"/>
          <w:rtl/>
        </w:rPr>
        <w:t xml:space="preserve">מאז שנחקק התיקון בשנת 1970 ועד היום, בחרה </w:t>
      </w:r>
      <w:r>
        <w:rPr>
          <w:rFonts w:ascii="Century" w:hAnsi="Century" w:hint="cs"/>
          <w:rtl/>
        </w:rPr>
        <w:t xml:space="preserve">הכנסת </w:t>
      </w:r>
      <w:r w:rsidR="00B74FC4">
        <w:rPr>
          <w:rFonts w:ascii="Century" w:hAnsi="Century" w:hint="cs"/>
          <w:rtl/>
        </w:rPr>
        <w:t>שלא לנקוט</w:t>
      </w:r>
      <w:r>
        <w:rPr>
          <w:rFonts w:ascii="Century" w:hAnsi="Century" w:hint="cs"/>
          <w:rtl/>
        </w:rPr>
        <w:t xml:space="preserve"> עמדה מפורשת בשאלה מה משמעותו של המושג "שנתגייר" בחוק השבות</w:t>
      </w:r>
      <w:r w:rsidR="00E2060D">
        <w:rPr>
          <w:rFonts w:ascii="Century" w:hAnsi="Century" w:hint="cs"/>
          <w:rtl/>
        </w:rPr>
        <w:t>.</w:t>
      </w:r>
    </w:p>
    <w:p w:rsidR="00EB4CDA" w:rsidRDefault="00EB4CDA" w:rsidP="00EB4CDA">
      <w:pPr>
        <w:pStyle w:val="Ruller40"/>
        <w:rPr>
          <w:rtl/>
        </w:rPr>
      </w:pPr>
    </w:p>
    <w:p w:rsidR="0091597B" w:rsidRDefault="00245F4A" w:rsidP="00001B52">
      <w:pPr>
        <w:pStyle w:val="Ruller40"/>
        <w:rPr>
          <w:rtl/>
        </w:rPr>
      </w:pPr>
      <w:r>
        <w:rPr>
          <w:rtl/>
        </w:rPr>
        <w:tab/>
      </w:r>
      <w:r>
        <w:rPr>
          <w:rFonts w:hint="cs"/>
          <w:rtl/>
        </w:rPr>
        <w:t xml:space="preserve">אחד ההליכים שבו נדונה לאחרונה </w:t>
      </w:r>
      <w:r w:rsidRPr="00EB4CDA">
        <w:rPr>
          <w:rFonts w:hint="cs"/>
          <w:rtl/>
        </w:rPr>
        <w:t xml:space="preserve">סוגיית פרשנותה של התיבה "שנתגייר" בחוק השבות </w:t>
      </w:r>
      <w:r>
        <w:rPr>
          <w:rFonts w:hint="cs"/>
          <w:rtl/>
        </w:rPr>
        <w:t xml:space="preserve">הוא </w:t>
      </w:r>
      <w:r w:rsidRPr="00EB4CDA">
        <w:rPr>
          <w:rFonts w:hint="cs"/>
          <w:rtl/>
        </w:rPr>
        <w:t>בג"ץ</w:t>
      </w:r>
      <w:r>
        <w:rPr>
          <w:rFonts w:hint="cs"/>
          <w:rtl/>
        </w:rPr>
        <w:t xml:space="preserve"> </w:t>
      </w:r>
      <w:r w:rsidRPr="00DD54FB">
        <w:rPr>
          <w:rtl/>
        </w:rPr>
        <w:t>7625</w:t>
      </w:r>
      <w:r w:rsidRPr="00DD54FB">
        <w:rPr>
          <w:rFonts w:hint="cs"/>
          <w:rtl/>
        </w:rPr>
        <w:t>/06</w:t>
      </w:r>
      <w:r>
        <w:rPr>
          <w:rFonts w:hint="cs"/>
          <w:rtl/>
        </w:rPr>
        <w:t xml:space="preserve"> </w:t>
      </w:r>
      <w:r w:rsidRPr="00DD54FB">
        <w:rPr>
          <w:rFonts w:hint="cs"/>
          <w:rtl/>
        </w:rPr>
        <w:t>רגצ'ובה</w:t>
      </w:r>
      <w:r>
        <w:rPr>
          <w:rFonts w:hint="cs"/>
          <w:rtl/>
        </w:rPr>
        <w:t xml:space="preserve"> נ' משרד הפנים</w:t>
      </w:r>
      <w:r w:rsidRPr="00EB4CDA">
        <w:rPr>
          <w:rFonts w:hint="cs"/>
          <w:rtl/>
        </w:rPr>
        <w:t xml:space="preserve">, בו </w:t>
      </w:r>
      <w:r w:rsidR="00765A09">
        <w:rPr>
          <w:rFonts w:hint="cs"/>
          <w:rtl/>
        </w:rPr>
        <w:t>עלה</w:t>
      </w:r>
      <w:r w:rsidRPr="00EB4CDA">
        <w:rPr>
          <w:rFonts w:hint="cs"/>
          <w:rtl/>
        </w:rPr>
        <w:t xml:space="preserve"> עניינם של מי שהתגיירו בישראל בקהילה </w:t>
      </w:r>
      <w:r w:rsidRPr="004F3F40">
        <w:rPr>
          <w:rFonts w:hint="cs"/>
          <w:b/>
          <w:bCs/>
          <w:rtl/>
        </w:rPr>
        <w:t>אורת</w:t>
      </w:r>
      <w:r w:rsidRPr="004F3F40">
        <w:rPr>
          <w:rFonts w:hint="cs"/>
          <w:b/>
          <w:bCs/>
          <w:rtl/>
        </w:rPr>
        <w:t>ודוכסית</w:t>
      </w:r>
      <w:r w:rsidRPr="00EB4CDA">
        <w:rPr>
          <w:rFonts w:hint="cs"/>
          <w:rtl/>
        </w:rPr>
        <w:t xml:space="preserve"> שלא במסגרת מערך הגיור הממלכתי (בתי הדין של </w:t>
      </w:r>
      <w:r>
        <w:rPr>
          <w:rFonts w:hint="cs"/>
          <w:rtl/>
        </w:rPr>
        <w:t>הרב ניסים קרליץ בבני ברק ו</w:t>
      </w:r>
      <w:r w:rsidRPr="00DD54FB">
        <w:rPr>
          <w:rFonts w:hint="cs"/>
          <w:rtl/>
        </w:rPr>
        <w:t>של הרב פרנק במאה שערים</w:t>
      </w:r>
      <w:r>
        <w:rPr>
          <w:rFonts w:hint="cs"/>
          <w:rtl/>
        </w:rPr>
        <w:t>)</w:t>
      </w:r>
      <w:r w:rsidRPr="00EB4CDA">
        <w:rPr>
          <w:rFonts w:hint="cs"/>
          <w:rtl/>
        </w:rPr>
        <w:t>.</w:t>
      </w:r>
      <w:r>
        <w:rPr>
          <w:rFonts w:hint="cs"/>
          <w:rtl/>
        </w:rPr>
        <w:t xml:space="preserve"> </w:t>
      </w:r>
      <w:r w:rsidR="00DD1F57">
        <w:rPr>
          <w:rFonts w:ascii="Century" w:hAnsi="Century" w:hint="cs"/>
          <w:rtl/>
        </w:rPr>
        <w:t xml:space="preserve">בעניין </w:t>
      </w:r>
      <w:r w:rsidR="004F3F40" w:rsidRPr="00DD54FB">
        <w:rPr>
          <w:rFonts w:hint="cs"/>
          <w:rtl/>
        </w:rPr>
        <w:t>רגצ'ובה</w:t>
      </w:r>
      <w:r w:rsidR="004F3F40">
        <w:rPr>
          <w:rFonts w:hint="cs"/>
          <w:rtl/>
        </w:rPr>
        <w:t xml:space="preserve"> </w:t>
      </w:r>
      <w:r>
        <w:rPr>
          <w:rFonts w:ascii="Century" w:hAnsi="Century" w:hint="cs"/>
          <w:rtl/>
        </w:rPr>
        <w:t xml:space="preserve">נקבע כי פרשנות של התיבה "שנתגייר" </w:t>
      </w:r>
      <w:r w:rsidRPr="00E2060D">
        <w:rPr>
          <w:rFonts w:ascii="Century" w:hAnsi="Century" w:hint="cs"/>
          <w:b/>
          <w:bCs/>
          <w:rtl/>
        </w:rPr>
        <w:t>בחוק השבות</w:t>
      </w:r>
      <w:r>
        <w:rPr>
          <w:rFonts w:ascii="Century" w:hAnsi="Century" w:hint="cs"/>
          <w:rtl/>
        </w:rPr>
        <w:t xml:space="preserve"> פירושה </w:t>
      </w:r>
      <w:r w:rsidR="00B74FC4">
        <w:rPr>
          <w:rFonts w:ascii="Century" w:hAnsi="Century" w:hint="cs"/>
          <w:rtl/>
        </w:rPr>
        <w:t xml:space="preserve">- </w:t>
      </w:r>
      <w:r>
        <w:rPr>
          <w:rFonts w:ascii="Century" w:hAnsi="Century" w:hint="cs"/>
          <w:rtl/>
        </w:rPr>
        <w:t xml:space="preserve">מי שעבר גיור בקהילה יהודית מוכרת בהתאם לאמות המידה המקובלות בה. </w:t>
      </w:r>
      <w:r>
        <w:rPr>
          <w:rFonts w:hint="cs"/>
          <w:rtl/>
        </w:rPr>
        <w:t xml:space="preserve">"קהילה יהודית מוכרת" הוגדרה </w:t>
      </w:r>
      <w:r w:rsidR="004F3F40">
        <w:rPr>
          <w:rFonts w:hint="cs"/>
          <w:rtl/>
        </w:rPr>
        <w:t>באותו פסק דין</w:t>
      </w:r>
      <w:r>
        <w:rPr>
          <w:rFonts w:hint="cs"/>
          <w:rtl/>
        </w:rPr>
        <w:t xml:space="preserve"> כקהילה "</w:t>
      </w:r>
      <w:r w:rsidRPr="00EC0683">
        <w:rPr>
          <w:rFonts w:hint="cs"/>
          <w:rtl/>
        </w:rPr>
        <w:t>בעלת זהות יהודית משותפת, מבוססת וקבועה</w:t>
      </w:r>
      <w:r>
        <w:rPr>
          <w:rFonts w:hint="cs"/>
          <w:rtl/>
        </w:rPr>
        <w:t>".</w:t>
      </w:r>
      <w:r w:rsidR="005A2928">
        <w:rPr>
          <w:rFonts w:hint="cs"/>
          <w:rtl/>
        </w:rPr>
        <w:t xml:space="preserve"> פס</w:t>
      </w:r>
      <w:r w:rsidR="004F3F40">
        <w:rPr>
          <w:rFonts w:hint="cs"/>
          <w:rtl/>
        </w:rPr>
        <w:t>ק הדין בעניין רגצ'ובה</w:t>
      </w:r>
      <w:r w:rsidR="00765A09">
        <w:rPr>
          <w:rFonts w:hint="cs"/>
          <w:rtl/>
        </w:rPr>
        <w:t xml:space="preserve"> הוכרע</w:t>
      </w:r>
      <w:r w:rsidR="00E2060D">
        <w:rPr>
          <w:rFonts w:hint="cs"/>
          <w:rtl/>
        </w:rPr>
        <w:t xml:space="preserve"> אף הוא</w:t>
      </w:r>
      <w:r w:rsidR="00765A09">
        <w:rPr>
          <w:rFonts w:hint="cs"/>
          <w:rtl/>
        </w:rPr>
        <w:t xml:space="preserve"> לאחר עשר שנים של המתנה להכרעת המחוקק בסוגיה שנדונה בו</w:t>
      </w:r>
      <w:r w:rsidR="00E2060D">
        <w:rPr>
          <w:rFonts w:hint="cs"/>
          <w:rtl/>
        </w:rPr>
        <w:t>.</w:t>
      </w:r>
      <w:r w:rsidR="00765A09">
        <w:rPr>
          <w:rFonts w:hint="cs"/>
          <w:rtl/>
        </w:rPr>
        <w:t xml:space="preserve"> </w:t>
      </w:r>
      <w:r w:rsidR="00001B52">
        <w:rPr>
          <w:rFonts w:hint="cs"/>
          <w:rtl/>
        </w:rPr>
        <w:t xml:space="preserve">בשנת 2016 </w:t>
      </w:r>
      <w:r>
        <w:rPr>
          <w:rFonts w:hint="cs"/>
          <w:rtl/>
        </w:rPr>
        <w:t>לאחר שניתן</w:t>
      </w:r>
      <w:r w:rsidR="00E2060D">
        <w:rPr>
          <w:rFonts w:hint="cs"/>
          <w:rtl/>
        </w:rPr>
        <w:t xml:space="preserve"> </w:t>
      </w:r>
      <w:r w:rsidR="00001B52">
        <w:rPr>
          <w:rFonts w:hint="cs"/>
          <w:rtl/>
        </w:rPr>
        <w:t xml:space="preserve">פסק הדין בעניין רגצ'ובה </w:t>
      </w:r>
      <w:r w:rsidR="00765A09">
        <w:rPr>
          <w:rFonts w:hint="cs"/>
          <w:rtl/>
        </w:rPr>
        <w:t>שבו</w:t>
      </w:r>
      <w:r w:rsidR="005A2928">
        <w:rPr>
          <w:rFonts w:hint="cs"/>
          <w:rtl/>
        </w:rPr>
        <w:t xml:space="preserve"> הצדדים </w:t>
      </w:r>
      <w:r w:rsidR="00765A09">
        <w:rPr>
          <w:rFonts w:hint="cs"/>
          <w:rtl/>
        </w:rPr>
        <w:t xml:space="preserve">בעתירות כאן </w:t>
      </w:r>
      <w:r>
        <w:rPr>
          <w:rFonts w:hint="cs"/>
          <w:rtl/>
        </w:rPr>
        <w:t>- שהי</w:t>
      </w:r>
      <w:r>
        <w:rPr>
          <w:rFonts w:hint="cs"/>
          <w:rtl/>
        </w:rPr>
        <w:t xml:space="preserve">ו תלויות ועומדות - </w:t>
      </w:r>
      <w:r w:rsidR="00765A09">
        <w:rPr>
          <w:rFonts w:hint="cs"/>
          <w:rtl/>
        </w:rPr>
        <w:t xml:space="preserve">וביקשו </w:t>
      </w:r>
      <w:r w:rsidR="005A2928">
        <w:rPr>
          <w:rFonts w:hint="cs"/>
          <w:rtl/>
        </w:rPr>
        <w:t>לגבש פת</w:t>
      </w:r>
      <w:r w:rsidR="00765A09">
        <w:rPr>
          <w:rFonts w:hint="cs"/>
          <w:rtl/>
        </w:rPr>
        <w:t>רון מקיף מחוץ לכותלי בית המשפט. בית המשפט נעתר לבקשה זו ואולם</w:t>
      </w:r>
      <w:r w:rsidR="005A2928">
        <w:rPr>
          <w:rFonts w:hint="cs"/>
          <w:rtl/>
        </w:rPr>
        <w:t xml:space="preserve"> מאז </w:t>
      </w:r>
      <w:r>
        <w:rPr>
          <w:rFonts w:hint="cs"/>
          <w:rtl/>
        </w:rPr>
        <w:t xml:space="preserve">חלפו </w:t>
      </w:r>
      <w:r w:rsidR="00001B52">
        <w:rPr>
          <w:rFonts w:hint="cs"/>
          <w:rtl/>
        </w:rPr>
        <w:t>כ</w:t>
      </w:r>
      <w:r>
        <w:rPr>
          <w:rFonts w:hint="cs"/>
          <w:rtl/>
        </w:rPr>
        <w:t xml:space="preserve">ארבע שנים נוספות </w:t>
      </w:r>
      <w:r w:rsidR="005A2928">
        <w:rPr>
          <w:rFonts w:hint="cs"/>
          <w:rtl/>
        </w:rPr>
        <w:t xml:space="preserve">ועד היום לא קודם </w:t>
      </w:r>
      <w:r w:rsidR="00E2060D">
        <w:rPr>
          <w:rFonts w:hint="cs"/>
          <w:rtl/>
        </w:rPr>
        <w:t xml:space="preserve">כל </w:t>
      </w:r>
      <w:r w:rsidR="005A2928">
        <w:rPr>
          <w:rFonts w:hint="cs"/>
          <w:rtl/>
        </w:rPr>
        <w:t xml:space="preserve">פתרון לנושא. </w:t>
      </w:r>
    </w:p>
    <w:p w:rsidR="0091597B" w:rsidRDefault="0091597B" w:rsidP="0091597B">
      <w:pPr>
        <w:pStyle w:val="Ruller40"/>
        <w:rPr>
          <w:rtl/>
        </w:rPr>
      </w:pPr>
    </w:p>
    <w:p w:rsidR="00EB4CDA" w:rsidRDefault="00245F4A" w:rsidP="0091597B">
      <w:pPr>
        <w:pStyle w:val="Ruller40"/>
        <w:rPr>
          <w:rtl/>
        </w:rPr>
      </w:pPr>
      <w:r>
        <w:rPr>
          <w:rtl/>
        </w:rPr>
        <w:lastRenderedPageBreak/>
        <w:tab/>
      </w:r>
      <w:r w:rsidR="004F3F40">
        <w:rPr>
          <w:rFonts w:hint="cs"/>
          <w:rtl/>
        </w:rPr>
        <w:t xml:space="preserve">שר הפנים בתצהיר התשובה מטעמו לא </w:t>
      </w:r>
      <w:r w:rsidR="00B74FC4">
        <w:rPr>
          <w:rFonts w:hint="cs"/>
          <w:rtl/>
        </w:rPr>
        <w:t>השיב</w:t>
      </w:r>
      <w:r w:rsidR="004F3F40">
        <w:rPr>
          <w:rFonts w:hint="cs"/>
          <w:rtl/>
        </w:rPr>
        <w:t xml:space="preserve"> לגופן של העתירות ולא טען כי יש שוני בין הגיור האורתודוכס</w:t>
      </w:r>
      <w:r w:rsidR="004F3F40">
        <w:rPr>
          <w:rFonts w:hint="eastAsia"/>
          <w:rtl/>
        </w:rPr>
        <w:t>י</w:t>
      </w:r>
      <w:r w:rsidR="004F3F40">
        <w:rPr>
          <w:rFonts w:hint="cs"/>
          <w:rtl/>
        </w:rPr>
        <w:t xml:space="preserve"> שנדון בעניין רגצ'ובה ובין גיור שנעשה בישראל בקהילות רפורמיות וקונסרביטיביות. </w:t>
      </w:r>
      <w:r w:rsidR="00B74FC4">
        <w:rPr>
          <w:rFonts w:hint="cs"/>
          <w:rtl/>
        </w:rPr>
        <w:t>יתרה מכך</w:t>
      </w:r>
      <w:r w:rsidR="00E313A7">
        <w:rPr>
          <w:rFonts w:hint="cs"/>
          <w:rtl/>
        </w:rPr>
        <w:t xml:space="preserve">, </w:t>
      </w:r>
      <w:r w:rsidR="00B74FC4">
        <w:rPr>
          <w:rFonts w:hint="cs"/>
          <w:rtl/>
        </w:rPr>
        <w:t xml:space="preserve">לעניין חוק השבות </w:t>
      </w:r>
      <w:r w:rsidR="00E313A7">
        <w:rPr>
          <w:rFonts w:hint="cs"/>
          <w:rtl/>
        </w:rPr>
        <w:t xml:space="preserve">שר הפנים מכיר זה מכבר בגיורים שעורכות קהילות אלה </w:t>
      </w:r>
      <w:r w:rsidR="00E313A7" w:rsidRPr="0045028A">
        <w:rPr>
          <w:rFonts w:ascii="Century" w:hAnsi="Century" w:cs="Miriam" w:hint="eastAsia"/>
          <w:b/>
          <w:spacing w:val="0"/>
          <w:szCs w:val="24"/>
          <w:rtl/>
        </w:rPr>
        <w:t>בחו</w:t>
      </w:r>
      <w:r w:rsidR="00E313A7" w:rsidRPr="0045028A">
        <w:rPr>
          <w:rFonts w:ascii="Century" w:hAnsi="Century" w:cs="Miriam"/>
          <w:b/>
          <w:spacing w:val="0"/>
          <w:szCs w:val="24"/>
          <w:rtl/>
        </w:rPr>
        <w:t>"</w:t>
      </w:r>
      <w:r w:rsidR="00E313A7" w:rsidRPr="0045028A">
        <w:rPr>
          <w:rFonts w:ascii="Century" w:hAnsi="Century" w:cs="Miriam" w:hint="eastAsia"/>
          <w:b/>
          <w:spacing w:val="0"/>
          <w:szCs w:val="24"/>
          <w:rtl/>
        </w:rPr>
        <w:t>ל</w:t>
      </w:r>
      <w:r w:rsidR="00E313A7">
        <w:rPr>
          <w:rFonts w:hint="cs"/>
          <w:rtl/>
        </w:rPr>
        <w:t xml:space="preserve">. </w:t>
      </w:r>
    </w:p>
    <w:p w:rsidR="00DD1F57" w:rsidRDefault="00245F4A" w:rsidP="00DD1F57">
      <w:pPr>
        <w:pStyle w:val="Ruller40"/>
        <w:rPr>
          <w:rtl/>
        </w:rPr>
      </w:pPr>
      <w:r>
        <w:rPr>
          <w:rtl/>
        </w:rPr>
        <w:tab/>
      </w:r>
    </w:p>
    <w:p w:rsidR="00A72EA7" w:rsidRPr="00237B14" w:rsidRDefault="00245F4A" w:rsidP="00E313A7">
      <w:pPr>
        <w:pStyle w:val="Ruller40"/>
        <w:rPr>
          <w:rtl/>
        </w:rPr>
      </w:pPr>
      <w:r>
        <w:rPr>
          <w:rtl/>
        </w:rPr>
        <w:tab/>
      </w:r>
      <w:r w:rsidR="00EB4CDA">
        <w:rPr>
          <w:rFonts w:hint="cs"/>
          <w:rtl/>
        </w:rPr>
        <w:t>הקהילות הלא-אורתודוכסיות שבהן התגיירו העותרים הן קהילות מבוססות בישראל, והן בעלות זהות יהודית משותפת וידועה ומסגרות קבועות של ניהול קהילתי. הליך הגיור בהן נעשה על ידי גוף דתי שהוסמך לכך בקהילה שאותה הו</w:t>
      </w:r>
      <w:r>
        <w:rPr>
          <w:rFonts w:hint="cs"/>
          <w:rtl/>
        </w:rPr>
        <w:t>א משרת, בהתאם לאמות-מידה קבועות</w:t>
      </w:r>
      <w:r w:rsidR="00EB4CDA">
        <w:rPr>
          <w:rFonts w:hint="cs"/>
          <w:rtl/>
        </w:rPr>
        <w:t xml:space="preserve">. קהילות אלו, כפי שכבר נפסק, הן "חלק מהזרמים המרכזיים של היהדות בעולם". </w:t>
      </w:r>
      <w:r w:rsidR="00E313A7">
        <w:rPr>
          <w:rFonts w:hint="cs"/>
          <w:rtl/>
        </w:rPr>
        <w:t xml:space="preserve">על כן, בהתאם למבחן שנקבע בעניין רגצ'ובה בדבר גיור ב"קהילה יהודית מוכרת", הכריע בית המשפט </w:t>
      </w:r>
      <w:r>
        <w:rPr>
          <w:rFonts w:hint="cs"/>
          <w:rtl/>
        </w:rPr>
        <w:t xml:space="preserve">כי </w:t>
      </w:r>
      <w:r w:rsidR="00EB4CDA">
        <w:rPr>
          <w:rFonts w:hint="cs"/>
          <w:rtl/>
        </w:rPr>
        <w:t>כל עוד לא ק</w:t>
      </w:r>
      <w:r w:rsidR="004F3F40">
        <w:rPr>
          <w:rFonts w:hint="cs"/>
          <w:rtl/>
        </w:rPr>
        <w:t>בע המחוקק אחרת, יש ל</w:t>
      </w:r>
      <w:r w:rsidR="00EB4CDA">
        <w:rPr>
          <w:rFonts w:hint="cs"/>
          <w:rtl/>
        </w:rPr>
        <w:t>הכיר כיהודים לעניין חוק השבות במי שהתגיירו בקהיל</w:t>
      </w:r>
      <w:r w:rsidR="004F3F40">
        <w:rPr>
          <w:rFonts w:hint="cs"/>
          <w:rtl/>
        </w:rPr>
        <w:t>ה</w:t>
      </w:r>
      <w:r w:rsidR="00EB4CDA">
        <w:rPr>
          <w:rFonts w:hint="cs"/>
          <w:rtl/>
        </w:rPr>
        <w:t xml:space="preserve"> </w:t>
      </w:r>
      <w:r w:rsidR="004F3F40">
        <w:rPr>
          <w:rFonts w:hint="cs"/>
          <w:rtl/>
        </w:rPr>
        <w:t>רפורמית או קונסרבטיבית</w:t>
      </w:r>
      <w:r w:rsidR="00EB4CDA">
        <w:rPr>
          <w:rFonts w:hint="cs"/>
          <w:rtl/>
        </w:rPr>
        <w:t xml:space="preserve"> </w:t>
      </w:r>
      <w:r w:rsidR="00EB4CDA" w:rsidRPr="00DD1F57">
        <w:rPr>
          <w:rFonts w:hint="eastAsia"/>
          <w:rtl/>
        </w:rPr>
        <w:t>בישראל</w:t>
      </w:r>
      <w:r w:rsidR="004F3F40">
        <w:rPr>
          <w:rFonts w:hint="cs"/>
          <w:rtl/>
        </w:rPr>
        <w:t xml:space="preserve">. </w:t>
      </w:r>
      <w:r>
        <w:rPr>
          <w:rFonts w:hint="cs"/>
          <w:rtl/>
        </w:rPr>
        <w:t xml:space="preserve">בית המשפט </w:t>
      </w:r>
      <w:r w:rsidR="004F3F40">
        <w:rPr>
          <w:rFonts w:hint="cs"/>
          <w:rtl/>
        </w:rPr>
        <w:t>ה</w:t>
      </w:r>
      <w:r>
        <w:rPr>
          <w:rFonts w:hint="cs"/>
          <w:rtl/>
        </w:rPr>
        <w:t xml:space="preserve">דגיש כי אין בהחלטתו </w:t>
      </w:r>
      <w:r w:rsidR="00EB4CDA" w:rsidRPr="00696373">
        <w:rPr>
          <w:rFonts w:hint="cs"/>
          <w:rtl/>
        </w:rPr>
        <w:t>כדי למנוע מ</w:t>
      </w:r>
      <w:r w:rsidR="00EB4CDA">
        <w:rPr>
          <w:rFonts w:hint="cs"/>
          <w:rtl/>
        </w:rPr>
        <w:t xml:space="preserve">ן </w:t>
      </w:r>
      <w:r w:rsidR="00EB4CDA" w:rsidRPr="00696373">
        <w:rPr>
          <w:rFonts w:hint="cs"/>
          <w:rtl/>
        </w:rPr>
        <w:t xml:space="preserve">הכנסת לצקת </w:t>
      </w:r>
      <w:r w:rsidR="00EB4CDA">
        <w:rPr>
          <w:rFonts w:hint="cs"/>
          <w:rtl/>
        </w:rPr>
        <w:t xml:space="preserve">בעתיד </w:t>
      </w:r>
      <w:r w:rsidR="00EB4CDA" w:rsidRPr="00696373">
        <w:rPr>
          <w:rFonts w:hint="cs"/>
          <w:rtl/>
        </w:rPr>
        <w:t>תוכן נוסף או אחר למושג הגיור בחוק השבות</w:t>
      </w:r>
      <w:r w:rsidR="00EB4CDA">
        <w:rPr>
          <w:rFonts w:hint="cs"/>
          <w:rtl/>
        </w:rPr>
        <w:t>, ככל שתמצא זאת לנכון</w:t>
      </w:r>
      <w:r w:rsidR="00E313A7">
        <w:rPr>
          <w:rFonts w:hint="cs"/>
          <w:rtl/>
        </w:rPr>
        <w:t>.</w:t>
      </w:r>
    </w:p>
    <w:sectPr w:rsidR="00A72EA7" w:rsidRPr="00237B14" w:rsidSect="00B6570B">
      <w:head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45F4A">
      <w:pPr>
        <w:spacing w:after="0" w:line="240" w:lineRule="auto"/>
      </w:pPr>
      <w:r>
        <w:separator/>
      </w:r>
    </w:p>
  </w:endnote>
  <w:endnote w:type="continuationSeparator" w:id="0">
    <w:p w:rsidR="00000000" w:rsidRDefault="0024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TUR">
    <w:charset w:val="00"/>
    <w:family w:val="swiss"/>
    <w:pitch w:val="variable"/>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45F4A">
      <w:pPr>
        <w:spacing w:after="0" w:line="240" w:lineRule="auto"/>
      </w:pPr>
      <w:r>
        <w:separator/>
      </w:r>
    </w:p>
  </w:footnote>
  <w:footnote w:type="continuationSeparator" w:id="0">
    <w:p w:rsidR="00000000" w:rsidRDefault="00245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03E" w:rsidRDefault="0015603E" w:rsidP="00971B8F">
    <w:pPr>
      <w:pStyle w:val="a3"/>
      <w:jc w:val="center"/>
    </w:pPr>
  </w:p>
  <w:p w:rsidR="00971B8F" w:rsidRDefault="00245F4A" w:rsidP="00971B8F">
    <w:pPr>
      <w:pStyle w:val="a3"/>
      <w:jc w:val="center"/>
      <w:rPr>
        <w:rtl/>
      </w:rPr>
    </w:pPr>
    <w:r w:rsidRPr="0012560F">
      <w:rPr>
        <w:noProof/>
      </w:rPr>
      <w:drawing>
        <wp:inline distT="0" distB="0" distL="0" distR="0">
          <wp:extent cx="526415" cy="621665"/>
          <wp:effectExtent l="0" t="0" r="6985" b="6985"/>
          <wp:docPr id="1" name="תמונה 1"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90546" name="תמונה 1" descr="seme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6415" cy="621665"/>
                  </a:xfrm>
                  <a:prstGeom prst="rect">
                    <a:avLst/>
                  </a:prstGeom>
                  <a:noFill/>
                  <a:ln>
                    <a:noFill/>
                  </a:ln>
                </pic:spPr>
              </pic:pic>
            </a:graphicData>
          </a:graphic>
        </wp:inline>
      </w:drawing>
    </w:r>
  </w:p>
  <w:p w:rsidR="00B74FC4" w:rsidRDefault="00B74FC4" w:rsidP="00971B8F">
    <w:pPr>
      <w:pStyle w:val="a3"/>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01B"/>
    <w:multiLevelType w:val="hybridMultilevel"/>
    <w:tmpl w:val="26F6000E"/>
    <w:lvl w:ilvl="0" w:tplc="E7B23BAA">
      <w:start w:val="1"/>
      <w:numFmt w:val="decimal"/>
      <w:pStyle w:val="Ruller4"/>
      <w:lvlText w:val="%1."/>
      <w:lvlJc w:val="left"/>
      <w:pPr>
        <w:tabs>
          <w:tab w:val="num" w:pos="907"/>
        </w:tabs>
        <w:ind w:left="0" w:firstLine="0"/>
      </w:pPr>
      <w:rPr>
        <w:rFonts w:hint="default"/>
        <w:lang w:val="en-US"/>
      </w:rPr>
    </w:lvl>
    <w:lvl w:ilvl="1" w:tplc="5BE25628">
      <w:start w:val="1"/>
      <w:numFmt w:val="lowerLetter"/>
      <w:lvlText w:val="%2."/>
      <w:lvlJc w:val="left"/>
      <w:pPr>
        <w:tabs>
          <w:tab w:val="num" w:pos="1440"/>
        </w:tabs>
        <w:ind w:left="1440" w:hanging="360"/>
      </w:pPr>
    </w:lvl>
    <w:lvl w:ilvl="2" w:tplc="D0004836" w:tentative="1">
      <w:start w:val="1"/>
      <w:numFmt w:val="lowerRoman"/>
      <w:lvlText w:val="%3."/>
      <w:lvlJc w:val="right"/>
      <w:pPr>
        <w:tabs>
          <w:tab w:val="num" w:pos="2160"/>
        </w:tabs>
        <w:ind w:left="2160" w:hanging="180"/>
      </w:pPr>
    </w:lvl>
    <w:lvl w:ilvl="3" w:tplc="A12207B0" w:tentative="1">
      <w:start w:val="1"/>
      <w:numFmt w:val="decimal"/>
      <w:lvlText w:val="%4."/>
      <w:lvlJc w:val="left"/>
      <w:pPr>
        <w:tabs>
          <w:tab w:val="num" w:pos="2880"/>
        </w:tabs>
        <w:ind w:left="2880" w:hanging="360"/>
      </w:pPr>
    </w:lvl>
    <w:lvl w:ilvl="4" w:tplc="663808EE" w:tentative="1">
      <w:start w:val="1"/>
      <w:numFmt w:val="lowerLetter"/>
      <w:lvlText w:val="%5."/>
      <w:lvlJc w:val="left"/>
      <w:pPr>
        <w:tabs>
          <w:tab w:val="num" w:pos="3600"/>
        </w:tabs>
        <w:ind w:left="3600" w:hanging="360"/>
      </w:pPr>
    </w:lvl>
    <w:lvl w:ilvl="5" w:tplc="EF367348" w:tentative="1">
      <w:start w:val="1"/>
      <w:numFmt w:val="lowerRoman"/>
      <w:lvlText w:val="%6."/>
      <w:lvlJc w:val="right"/>
      <w:pPr>
        <w:tabs>
          <w:tab w:val="num" w:pos="4320"/>
        </w:tabs>
        <w:ind w:left="4320" w:hanging="180"/>
      </w:pPr>
    </w:lvl>
    <w:lvl w:ilvl="6" w:tplc="015098E6" w:tentative="1">
      <w:start w:val="1"/>
      <w:numFmt w:val="decimal"/>
      <w:lvlText w:val="%7."/>
      <w:lvlJc w:val="left"/>
      <w:pPr>
        <w:tabs>
          <w:tab w:val="num" w:pos="5040"/>
        </w:tabs>
        <w:ind w:left="5040" w:hanging="360"/>
      </w:pPr>
    </w:lvl>
    <w:lvl w:ilvl="7" w:tplc="5C30193E" w:tentative="1">
      <w:start w:val="1"/>
      <w:numFmt w:val="lowerLetter"/>
      <w:lvlText w:val="%8."/>
      <w:lvlJc w:val="left"/>
      <w:pPr>
        <w:tabs>
          <w:tab w:val="num" w:pos="5760"/>
        </w:tabs>
        <w:ind w:left="5760" w:hanging="360"/>
      </w:pPr>
    </w:lvl>
    <w:lvl w:ilvl="8" w:tplc="E54C5038" w:tentative="1">
      <w:start w:val="1"/>
      <w:numFmt w:val="lowerRoman"/>
      <w:lvlText w:val="%9."/>
      <w:lvlJc w:val="right"/>
      <w:pPr>
        <w:tabs>
          <w:tab w:val="num" w:pos="6480"/>
        </w:tabs>
        <w:ind w:left="6480" w:hanging="180"/>
      </w:pPr>
    </w:lvl>
  </w:abstractNum>
  <w:abstractNum w:abstractNumId="1" w15:restartNumberingAfterBreak="0">
    <w:nsid w:val="09CF09E6"/>
    <w:multiLevelType w:val="hybridMultilevel"/>
    <w:tmpl w:val="CC4C2B3C"/>
    <w:lvl w:ilvl="0" w:tplc="01F8ECD2">
      <w:start w:val="1"/>
      <w:numFmt w:val="decimal"/>
      <w:lvlText w:val="%1."/>
      <w:lvlJc w:val="left"/>
      <w:pPr>
        <w:ind w:left="360" w:hanging="360"/>
      </w:pPr>
      <w:rPr>
        <w:rFonts w:hint="default"/>
      </w:rPr>
    </w:lvl>
    <w:lvl w:ilvl="1" w:tplc="F4F040CE" w:tentative="1">
      <w:start w:val="1"/>
      <w:numFmt w:val="lowerLetter"/>
      <w:lvlText w:val="%2."/>
      <w:lvlJc w:val="left"/>
      <w:pPr>
        <w:ind w:left="1440" w:hanging="360"/>
      </w:pPr>
    </w:lvl>
    <w:lvl w:ilvl="2" w:tplc="A938416C" w:tentative="1">
      <w:start w:val="1"/>
      <w:numFmt w:val="lowerRoman"/>
      <w:lvlText w:val="%3."/>
      <w:lvlJc w:val="right"/>
      <w:pPr>
        <w:ind w:left="2160" w:hanging="180"/>
      </w:pPr>
    </w:lvl>
    <w:lvl w:ilvl="3" w:tplc="2FB0DDC0" w:tentative="1">
      <w:start w:val="1"/>
      <w:numFmt w:val="decimal"/>
      <w:lvlText w:val="%4."/>
      <w:lvlJc w:val="left"/>
      <w:pPr>
        <w:ind w:left="2880" w:hanging="360"/>
      </w:pPr>
    </w:lvl>
    <w:lvl w:ilvl="4" w:tplc="A69AE4A4" w:tentative="1">
      <w:start w:val="1"/>
      <w:numFmt w:val="lowerLetter"/>
      <w:lvlText w:val="%5."/>
      <w:lvlJc w:val="left"/>
      <w:pPr>
        <w:ind w:left="3600" w:hanging="360"/>
      </w:pPr>
    </w:lvl>
    <w:lvl w:ilvl="5" w:tplc="FC8C2246" w:tentative="1">
      <w:start w:val="1"/>
      <w:numFmt w:val="lowerRoman"/>
      <w:lvlText w:val="%6."/>
      <w:lvlJc w:val="right"/>
      <w:pPr>
        <w:ind w:left="4320" w:hanging="180"/>
      </w:pPr>
    </w:lvl>
    <w:lvl w:ilvl="6" w:tplc="43185B98" w:tentative="1">
      <w:start w:val="1"/>
      <w:numFmt w:val="decimal"/>
      <w:lvlText w:val="%7."/>
      <w:lvlJc w:val="left"/>
      <w:pPr>
        <w:ind w:left="5040" w:hanging="360"/>
      </w:pPr>
    </w:lvl>
    <w:lvl w:ilvl="7" w:tplc="311692FC" w:tentative="1">
      <w:start w:val="1"/>
      <w:numFmt w:val="lowerLetter"/>
      <w:lvlText w:val="%8."/>
      <w:lvlJc w:val="left"/>
      <w:pPr>
        <w:ind w:left="5760" w:hanging="360"/>
      </w:pPr>
    </w:lvl>
    <w:lvl w:ilvl="8" w:tplc="412494A2"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EA7"/>
    <w:rsid w:val="00001B52"/>
    <w:rsid w:val="00010BA3"/>
    <w:rsid w:val="000326EB"/>
    <w:rsid w:val="0003390C"/>
    <w:rsid w:val="0007600E"/>
    <w:rsid w:val="000E4616"/>
    <w:rsid w:val="000E6E90"/>
    <w:rsid w:val="001116DC"/>
    <w:rsid w:val="00150317"/>
    <w:rsid w:val="0015603E"/>
    <w:rsid w:val="00193708"/>
    <w:rsid w:val="001E5150"/>
    <w:rsid w:val="002376B6"/>
    <w:rsid w:val="00237B14"/>
    <w:rsid w:val="00245F4A"/>
    <w:rsid w:val="0025076A"/>
    <w:rsid w:val="002629E6"/>
    <w:rsid w:val="00292A19"/>
    <w:rsid w:val="002B4EEF"/>
    <w:rsid w:val="002D343F"/>
    <w:rsid w:val="0033375B"/>
    <w:rsid w:val="00334BFC"/>
    <w:rsid w:val="0034783B"/>
    <w:rsid w:val="003A7393"/>
    <w:rsid w:val="003B4B1A"/>
    <w:rsid w:val="003D7462"/>
    <w:rsid w:val="004374F9"/>
    <w:rsid w:val="0045028A"/>
    <w:rsid w:val="0048409C"/>
    <w:rsid w:val="00497541"/>
    <w:rsid w:val="004C1E31"/>
    <w:rsid w:val="004F1F3D"/>
    <w:rsid w:val="004F3F40"/>
    <w:rsid w:val="00523CFA"/>
    <w:rsid w:val="00524151"/>
    <w:rsid w:val="00541611"/>
    <w:rsid w:val="0055032B"/>
    <w:rsid w:val="00574E9C"/>
    <w:rsid w:val="005857F9"/>
    <w:rsid w:val="005A2928"/>
    <w:rsid w:val="005D1D79"/>
    <w:rsid w:val="005D2DE8"/>
    <w:rsid w:val="005F13B3"/>
    <w:rsid w:val="00626774"/>
    <w:rsid w:val="006274A3"/>
    <w:rsid w:val="00635438"/>
    <w:rsid w:val="00692462"/>
    <w:rsid w:val="00696373"/>
    <w:rsid w:val="006E689A"/>
    <w:rsid w:val="00720BCE"/>
    <w:rsid w:val="00760CF5"/>
    <w:rsid w:val="00765A09"/>
    <w:rsid w:val="007B3E56"/>
    <w:rsid w:val="00823EA2"/>
    <w:rsid w:val="00841F95"/>
    <w:rsid w:val="008579E8"/>
    <w:rsid w:val="00862067"/>
    <w:rsid w:val="008736E1"/>
    <w:rsid w:val="008922F5"/>
    <w:rsid w:val="0089574C"/>
    <w:rsid w:val="008C28D5"/>
    <w:rsid w:val="0091597B"/>
    <w:rsid w:val="00926682"/>
    <w:rsid w:val="009516B0"/>
    <w:rsid w:val="00971B8F"/>
    <w:rsid w:val="00986C24"/>
    <w:rsid w:val="0099748A"/>
    <w:rsid w:val="00A1372D"/>
    <w:rsid w:val="00A30FCD"/>
    <w:rsid w:val="00A72EA7"/>
    <w:rsid w:val="00A97A27"/>
    <w:rsid w:val="00AA5A83"/>
    <w:rsid w:val="00AD3330"/>
    <w:rsid w:val="00B6570B"/>
    <w:rsid w:val="00B74FC4"/>
    <w:rsid w:val="00BA7D08"/>
    <w:rsid w:val="00BD4DA6"/>
    <w:rsid w:val="00BF526C"/>
    <w:rsid w:val="00BF773C"/>
    <w:rsid w:val="00C0549E"/>
    <w:rsid w:val="00C8461B"/>
    <w:rsid w:val="00C853A9"/>
    <w:rsid w:val="00C9205A"/>
    <w:rsid w:val="00C978BA"/>
    <w:rsid w:val="00CC57CC"/>
    <w:rsid w:val="00CF3F10"/>
    <w:rsid w:val="00D45DAC"/>
    <w:rsid w:val="00D53BF0"/>
    <w:rsid w:val="00D86183"/>
    <w:rsid w:val="00DC5C3B"/>
    <w:rsid w:val="00DD1F57"/>
    <w:rsid w:val="00DD54FB"/>
    <w:rsid w:val="00DF12A2"/>
    <w:rsid w:val="00E0581F"/>
    <w:rsid w:val="00E113B1"/>
    <w:rsid w:val="00E2060D"/>
    <w:rsid w:val="00E313A7"/>
    <w:rsid w:val="00E7185C"/>
    <w:rsid w:val="00E86D74"/>
    <w:rsid w:val="00EA0988"/>
    <w:rsid w:val="00EB4CDA"/>
    <w:rsid w:val="00EB7D20"/>
    <w:rsid w:val="00EC0683"/>
    <w:rsid w:val="00F31BEC"/>
    <w:rsid w:val="00F60EE1"/>
    <w:rsid w:val="00F93150"/>
    <w:rsid w:val="00FD04FC"/>
    <w:rsid w:val="00FF78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65BF0-E821-4957-B4C6-8F9AA27E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40">
    <w:name w:val="Ruller4"/>
    <w:basedOn w:val="a"/>
    <w:rsid w:val="00A72EA7"/>
    <w:pPr>
      <w:tabs>
        <w:tab w:val="left" w:pos="800"/>
      </w:tabs>
      <w:overflowPunct w:val="0"/>
      <w:autoSpaceDE w:val="0"/>
      <w:autoSpaceDN w:val="0"/>
      <w:adjustRightInd w:val="0"/>
      <w:spacing w:after="0" w:line="360" w:lineRule="auto"/>
      <w:jc w:val="both"/>
      <w:textAlignment w:val="baseline"/>
    </w:pPr>
    <w:rPr>
      <w:rFonts w:ascii="Arial TUR" w:eastAsia="Times New Roman" w:hAnsi="Arial TUR" w:cs="FrankRuehl"/>
      <w:spacing w:val="10"/>
      <w:szCs w:val="28"/>
    </w:rPr>
  </w:style>
  <w:style w:type="paragraph" w:styleId="a3">
    <w:name w:val="header"/>
    <w:basedOn w:val="a"/>
    <w:link w:val="a4"/>
    <w:uiPriority w:val="99"/>
    <w:unhideWhenUsed/>
    <w:rsid w:val="00971B8F"/>
    <w:pPr>
      <w:tabs>
        <w:tab w:val="center" w:pos="4153"/>
        <w:tab w:val="right" w:pos="8306"/>
      </w:tabs>
      <w:spacing w:after="0" w:line="240" w:lineRule="auto"/>
    </w:pPr>
  </w:style>
  <w:style w:type="character" w:customStyle="1" w:styleId="a4">
    <w:name w:val="כותרת עליונה תו"/>
    <w:basedOn w:val="a0"/>
    <w:link w:val="a3"/>
    <w:uiPriority w:val="99"/>
    <w:rsid w:val="00971B8F"/>
  </w:style>
  <w:style w:type="paragraph" w:styleId="a5">
    <w:name w:val="footer"/>
    <w:basedOn w:val="a"/>
    <w:link w:val="a6"/>
    <w:uiPriority w:val="99"/>
    <w:unhideWhenUsed/>
    <w:rsid w:val="00971B8F"/>
    <w:pPr>
      <w:tabs>
        <w:tab w:val="center" w:pos="4153"/>
        <w:tab w:val="right" w:pos="8306"/>
      </w:tabs>
      <w:spacing w:after="0" w:line="240" w:lineRule="auto"/>
    </w:pPr>
  </w:style>
  <w:style w:type="character" w:customStyle="1" w:styleId="a6">
    <w:name w:val="כותרת תחתונה תו"/>
    <w:basedOn w:val="a0"/>
    <w:link w:val="a5"/>
    <w:uiPriority w:val="99"/>
    <w:rsid w:val="00971B8F"/>
  </w:style>
  <w:style w:type="paragraph" w:styleId="a7">
    <w:name w:val="Balloon Text"/>
    <w:basedOn w:val="a"/>
    <w:link w:val="a8"/>
    <w:uiPriority w:val="99"/>
    <w:semiHidden/>
    <w:unhideWhenUsed/>
    <w:rsid w:val="001116DC"/>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1116DC"/>
    <w:rPr>
      <w:rFonts w:ascii="Tahoma" w:hAnsi="Tahoma" w:cs="Tahoma"/>
      <w:sz w:val="18"/>
      <w:szCs w:val="18"/>
    </w:rPr>
  </w:style>
  <w:style w:type="paragraph" w:customStyle="1" w:styleId="big-header">
    <w:name w:val="big-header"/>
    <w:basedOn w:val="a"/>
    <w:rsid w:val="00237B1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ascii="Times New Roman" w:eastAsia="Times New Roman" w:hAnsi="Times New Roman" w:cs="Times New Roman"/>
      <w:noProof/>
      <w:sz w:val="20"/>
      <w:szCs w:val="32"/>
      <w:lang w:eastAsia="he-IL"/>
    </w:rPr>
  </w:style>
  <w:style w:type="paragraph" w:customStyle="1" w:styleId="Ruller4">
    <w:name w:val="Ruller 4 ממוספר"/>
    <w:basedOn w:val="Ruller40"/>
    <w:next w:val="Ruller40"/>
    <w:rsid w:val="0089574C"/>
    <w:pPr>
      <w:numPr>
        <w:numId w:val="2"/>
      </w:numPr>
    </w:pPr>
    <w:rPr>
      <w:rFonts w:ascii="Garamond" w:hAnsi="Garamond"/>
      <w:sz w:val="24"/>
    </w:rPr>
  </w:style>
  <w:style w:type="paragraph" w:customStyle="1" w:styleId="ruller400">
    <w:name w:val="ruller40"/>
    <w:basedOn w:val="a"/>
    <w:rsid w:val="0007600E"/>
    <w:pPr>
      <w:overflowPunct w:val="0"/>
      <w:autoSpaceDE w:val="0"/>
      <w:autoSpaceDN w:val="0"/>
      <w:spacing w:after="0" w:line="360" w:lineRule="auto"/>
      <w:jc w:val="both"/>
    </w:pPr>
    <w:rPr>
      <w:rFonts w:ascii="Arial TUR" w:hAnsi="Arial TUR" w:cs="Times New Roman"/>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2748</Characters>
  <Application>Microsoft Office Word</Application>
  <DocSecurity>4</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שירלי קורן</dc:creator>
  <cp:lastModifiedBy>Court</cp:lastModifiedBy>
  <cp:revision>2</cp:revision>
  <dcterms:created xsi:type="dcterms:W3CDTF">2021-03-01T15:45:00Z</dcterms:created>
  <dcterms:modified xsi:type="dcterms:W3CDTF">2021-03-01T15:45:00Z</dcterms:modified>
</cp:coreProperties>
</file>