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D70" w:rsidRPr="00752574" w:rsidRDefault="00752574" w:rsidP="00752574">
      <w:pPr>
        <w:tabs>
          <w:tab w:val="left" w:pos="800"/>
        </w:tabs>
        <w:jc w:val="center"/>
        <w:rPr>
          <w:rFonts w:ascii="Arial TUR" w:hAnsi="Arial TUR" w:cs="David"/>
          <w:b/>
          <w:bCs/>
          <w:color w:val="000080"/>
          <w:sz w:val="28"/>
          <w:szCs w:val="32"/>
          <w:rtl/>
        </w:rPr>
      </w:pPr>
      <w:bookmarkStart w:id="0" w:name="_GoBack"/>
      <w:bookmarkEnd w:id="0"/>
      <w:r>
        <w:rPr>
          <w:rFonts w:ascii="Arial TUR" w:hAnsi="Arial TUR" w:cs="David" w:hint="cs"/>
          <w:b/>
          <w:bCs/>
          <w:color w:val="000080"/>
          <w:sz w:val="28"/>
          <w:szCs w:val="32"/>
          <w:rtl/>
        </w:rPr>
        <w:t xml:space="preserve">שאלות ותשובות בנוגע לפסק הדין בבג"ץ </w:t>
      </w:r>
      <w:r w:rsidR="002E71C6">
        <w:rPr>
          <w:rFonts w:ascii="Arial TUR" w:hAnsi="Arial TUR" w:cs="David" w:hint="cs"/>
          <w:b/>
          <w:bCs/>
          <w:color w:val="000080"/>
          <w:sz w:val="28"/>
          <w:szCs w:val="32"/>
          <w:rtl/>
        </w:rPr>
        <w:t>11013/05</w:t>
      </w:r>
      <w:r w:rsidR="002E71C6" w:rsidRPr="00752574">
        <w:rPr>
          <w:rFonts w:ascii="Arial TUR" w:hAnsi="Arial TUR" w:cs="David" w:hint="cs"/>
          <w:b/>
          <w:bCs/>
          <w:color w:val="000080"/>
          <w:sz w:val="28"/>
          <w:szCs w:val="32"/>
          <w:rtl/>
        </w:rPr>
        <w:t xml:space="preserve"> </w:t>
      </w:r>
      <w:r w:rsidRPr="00752574">
        <w:rPr>
          <w:rFonts w:ascii="Arial TUR" w:hAnsi="Arial TUR" w:cs="David" w:hint="cs"/>
          <w:b/>
          <w:bCs/>
          <w:color w:val="000080"/>
          <w:sz w:val="28"/>
          <w:szCs w:val="32"/>
          <w:rtl/>
        </w:rPr>
        <w:t>בנושא הכרה לצורך חוק השבות בגיורים שנעשו בישראל בקהילות רפורמיות וקונסרבטיביות</w:t>
      </w:r>
    </w:p>
    <w:p w:rsidR="00F35509" w:rsidRPr="00F35509" w:rsidRDefault="002E71C6" w:rsidP="00F35509">
      <w:pPr>
        <w:pStyle w:val="Ruller40"/>
        <w:jc w:val="center"/>
        <w:rPr>
          <w:rFonts w:cs="David"/>
          <w:b/>
          <w:bCs/>
          <w:color w:val="000080"/>
          <w:spacing w:val="0"/>
          <w:sz w:val="22"/>
          <w:szCs w:val="22"/>
          <w:rtl/>
        </w:rPr>
      </w:pPr>
      <w:r w:rsidRPr="00F35509">
        <w:rPr>
          <w:rFonts w:cs="David" w:hint="cs"/>
          <w:b/>
          <w:bCs/>
          <w:color w:val="000080"/>
          <w:spacing w:val="0"/>
          <w:sz w:val="22"/>
          <w:szCs w:val="22"/>
          <w:rtl/>
        </w:rPr>
        <w:t>הגרסה הרשמית והמחייבת של פסק הדין מפורסמת באתר הרשות השופטת</w:t>
      </w:r>
    </w:p>
    <w:p w:rsidR="000B6D70" w:rsidRPr="00F35509" w:rsidRDefault="000B6D70" w:rsidP="000B6D70">
      <w:pPr>
        <w:spacing w:line="360" w:lineRule="auto"/>
        <w:ind w:left="720"/>
        <w:rPr>
          <w:rFonts w:ascii="Arial TUR" w:hAnsi="Arial TUR" w:cs="David"/>
          <w:b/>
          <w:bCs/>
          <w:color w:val="000080"/>
          <w:sz w:val="28"/>
          <w:szCs w:val="32"/>
        </w:rPr>
      </w:pPr>
    </w:p>
    <w:p w:rsidR="005C05AE" w:rsidRPr="00752574" w:rsidRDefault="008370A4" w:rsidP="00E169B7">
      <w:pPr>
        <w:numPr>
          <w:ilvl w:val="0"/>
          <w:numId w:val="1"/>
        </w:numPr>
        <w:spacing w:line="360" w:lineRule="auto"/>
        <w:rPr>
          <w:b/>
          <w:bCs/>
          <w:sz w:val="24"/>
          <w:szCs w:val="32"/>
          <w:rtl/>
        </w:rPr>
      </w:pPr>
      <w:r w:rsidRPr="00752574">
        <w:rPr>
          <w:rFonts w:hint="cs"/>
          <w:b/>
          <w:bCs/>
          <w:sz w:val="24"/>
          <w:szCs w:val="32"/>
          <w:rtl/>
        </w:rPr>
        <w:t xml:space="preserve">מדוע בית המשפט </w:t>
      </w:r>
      <w:r w:rsidR="00E169B7" w:rsidRPr="00752574">
        <w:rPr>
          <w:rFonts w:hint="cs"/>
          <w:b/>
          <w:bCs/>
          <w:sz w:val="24"/>
          <w:szCs w:val="32"/>
          <w:rtl/>
        </w:rPr>
        <w:t xml:space="preserve">צריך </w:t>
      </w:r>
      <w:r w:rsidR="000B6D70" w:rsidRPr="00752574">
        <w:rPr>
          <w:rFonts w:hint="cs"/>
          <w:b/>
          <w:bCs/>
          <w:sz w:val="24"/>
          <w:szCs w:val="32"/>
          <w:rtl/>
        </w:rPr>
        <w:t xml:space="preserve">היה </w:t>
      </w:r>
      <w:r w:rsidR="00E169B7" w:rsidRPr="00752574">
        <w:rPr>
          <w:rFonts w:hint="cs"/>
          <w:b/>
          <w:bCs/>
          <w:sz w:val="24"/>
          <w:szCs w:val="32"/>
          <w:rtl/>
        </w:rPr>
        <w:t>לדון</w:t>
      </w:r>
      <w:r w:rsidRPr="00752574">
        <w:rPr>
          <w:rFonts w:hint="cs"/>
          <w:b/>
          <w:bCs/>
          <w:sz w:val="24"/>
          <w:szCs w:val="32"/>
          <w:rtl/>
        </w:rPr>
        <w:t xml:space="preserve"> בנושא </w:t>
      </w:r>
      <w:r w:rsidR="00E169B7" w:rsidRPr="00752574">
        <w:rPr>
          <w:rFonts w:hint="cs"/>
          <w:b/>
          <w:bCs/>
          <w:sz w:val="24"/>
          <w:szCs w:val="32"/>
          <w:rtl/>
        </w:rPr>
        <w:t>הגיור הקונסרבטיבי והרפורמי</w:t>
      </w:r>
      <w:r w:rsidRPr="00752574">
        <w:rPr>
          <w:rFonts w:hint="cs"/>
          <w:b/>
          <w:bCs/>
          <w:sz w:val="24"/>
          <w:szCs w:val="32"/>
          <w:rtl/>
        </w:rPr>
        <w:t>?</w:t>
      </w:r>
    </w:p>
    <w:p w:rsidR="008370A4" w:rsidRDefault="00353A9F" w:rsidP="00C02FDF">
      <w:pPr>
        <w:spacing w:line="360" w:lineRule="auto"/>
        <w:ind w:firstLine="360"/>
        <w:jc w:val="both"/>
        <w:rPr>
          <w:sz w:val="24"/>
          <w:szCs w:val="32"/>
          <w:rtl/>
        </w:rPr>
      </w:pPr>
      <w:r>
        <w:rPr>
          <w:rFonts w:hint="cs"/>
          <w:sz w:val="24"/>
          <w:szCs w:val="32"/>
          <w:rtl/>
        </w:rPr>
        <w:t>חוק השבות קובע שיהודי הוא גם מי "שהתגייר"</w:t>
      </w:r>
      <w:r w:rsidR="00EA6EA5">
        <w:rPr>
          <w:rFonts w:hint="cs"/>
          <w:sz w:val="24"/>
          <w:szCs w:val="32"/>
          <w:rtl/>
        </w:rPr>
        <w:t>. בעת שנוסף ביטוי זה לחוק</w:t>
      </w:r>
      <w:r w:rsidR="00F51596">
        <w:rPr>
          <w:rFonts w:hint="cs"/>
          <w:sz w:val="24"/>
          <w:szCs w:val="32"/>
          <w:rtl/>
        </w:rPr>
        <w:t xml:space="preserve"> בשנת 1970 </w:t>
      </w:r>
      <w:r w:rsidRPr="00752574">
        <w:rPr>
          <w:rFonts w:hint="cs"/>
          <w:sz w:val="24"/>
          <w:szCs w:val="32"/>
          <w:rtl/>
        </w:rPr>
        <w:t xml:space="preserve">הכנסת בחרה שלא לאמץ את הצעת חלק מחבריה להוסיף למונח "שנתגייר" את המילים "לפי ההלכה" או "לפי הרבנות הראשית". </w:t>
      </w:r>
      <w:r w:rsidR="00C02FDF">
        <w:rPr>
          <w:rFonts w:hint="cs"/>
          <w:sz w:val="24"/>
          <w:szCs w:val="32"/>
          <w:rtl/>
        </w:rPr>
        <w:t xml:space="preserve">בהתאם לפסיקת בית המשפט העליון, </w:t>
      </w:r>
      <w:r>
        <w:rPr>
          <w:rFonts w:hint="cs"/>
          <w:sz w:val="24"/>
          <w:szCs w:val="32"/>
          <w:rtl/>
        </w:rPr>
        <w:t>בשנת 2005 החל שר הפנים להכיר בגיורים שנערכו בקהילות רפורמיות או קונסרבטיביות בחו"ל</w:t>
      </w:r>
      <w:r w:rsidR="00F51596">
        <w:rPr>
          <w:rFonts w:hint="cs"/>
          <w:sz w:val="24"/>
          <w:szCs w:val="32"/>
          <w:rtl/>
        </w:rPr>
        <w:t>.</w:t>
      </w:r>
      <w:r>
        <w:rPr>
          <w:rFonts w:hint="cs"/>
          <w:sz w:val="24"/>
          <w:szCs w:val="32"/>
          <w:rtl/>
        </w:rPr>
        <w:t xml:space="preserve"> </w:t>
      </w:r>
      <w:r w:rsidR="00CB3DE9" w:rsidRPr="00752574">
        <w:rPr>
          <w:rFonts w:hint="cs"/>
          <w:sz w:val="24"/>
          <w:szCs w:val="32"/>
          <w:rtl/>
        </w:rPr>
        <w:t xml:space="preserve">העותרים </w:t>
      </w:r>
      <w:r w:rsidR="00C02FDF">
        <w:rPr>
          <w:rFonts w:hint="cs"/>
          <w:sz w:val="24"/>
          <w:szCs w:val="32"/>
          <w:rtl/>
        </w:rPr>
        <w:t xml:space="preserve">בהליכים הנוכחיים </w:t>
      </w:r>
      <w:r w:rsidR="00CB3DE9" w:rsidRPr="00752574">
        <w:rPr>
          <w:rFonts w:hint="cs"/>
          <w:sz w:val="24"/>
          <w:szCs w:val="32"/>
          <w:rtl/>
        </w:rPr>
        <w:t xml:space="preserve">עברו הליכי גיור בקהילה קונסרבטיבית או רפורמית </w:t>
      </w:r>
      <w:r>
        <w:rPr>
          <w:rFonts w:hint="cs"/>
          <w:sz w:val="24"/>
          <w:szCs w:val="32"/>
          <w:rtl/>
        </w:rPr>
        <w:t xml:space="preserve">בישראל </w:t>
      </w:r>
      <w:r w:rsidR="00CB3DE9" w:rsidRPr="00752574">
        <w:rPr>
          <w:rFonts w:hint="cs"/>
          <w:sz w:val="24"/>
          <w:szCs w:val="32"/>
          <w:rtl/>
        </w:rPr>
        <w:t>וביקשו ל</w:t>
      </w:r>
      <w:r w:rsidR="00830648" w:rsidRPr="00752574">
        <w:rPr>
          <w:rFonts w:hint="cs"/>
          <w:sz w:val="24"/>
          <w:szCs w:val="32"/>
          <w:rtl/>
        </w:rPr>
        <w:t xml:space="preserve">קבל אזרחות ישראלית </w:t>
      </w:r>
      <w:r w:rsidR="00CB3DE9" w:rsidRPr="00752574">
        <w:rPr>
          <w:rFonts w:hint="cs"/>
          <w:sz w:val="24"/>
          <w:szCs w:val="32"/>
          <w:rtl/>
        </w:rPr>
        <w:t>מכוח חוק השבות</w:t>
      </w:r>
      <w:r w:rsidR="00E169B7" w:rsidRPr="00752574">
        <w:rPr>
          <w:rFonts w:hint="cs"/>
          <w:sz w:val="24"/>
          <w:szCs w:val="32"/>
          <w:rtl/>
        </w:rPr>
        <w:t xml:space="preserve">. </w:t>
      </w:r>
      <w:r w:rsidR="00CB3DE9" w:rsidRPr="00752574">
        <w:rPr>
          <w:rFonts w:hint="cs"/>
          <w:sz w:val="24"/>
          <w:szCs w:val="32"/>
          <w:rtl/>
        </w:rPr>
        <w:t xml:space="preserve">שר הפנים דחה את בקשותיהם. </w:t>
      </w:r>
      <w:r w:rsidR="00E169B7" w:rsidRPr="00752574">
        <w:rPr>
          <w:rFonts w:hint="cs"/>
          <w:sz w:val="24"/>
          <w:szCs w:val="32"/>
          <w:rtl/>
        </w:rPr>
        <w:t>בשנת 200</w:t>
      </w:r>
      <w:r w:rsidR="00EA6EA5">
        <w:rPr>
          <w:rFonts w:hint="cs"/>
          <w:sz w:val="24"/>
          <w:szCs w:val="32"/>
          <w:rtl/>
        </w:rPr>
        <w:t>6-2005</w:t>
      </w:r>
      <w:r w:rsidR="00E169B7" w:rsidRPr="00752574">
        <w:rPr>
          <w:rFonts w:hint="cs"/>
          <w:sz w:val="24"/>
          <w:szCs w:val="32"/>
          <w:rtl/>
        </w:rPr>
        <w:t xml:space="preserve"> פנו העותרים </w:t>
      </w:r>
      <w:r>
        <w:rPr>
          <w:rFonts w:hint="cs"/>
          <w:sz w:val="24"/>
          <w:szCs w:val="32"/>
          <w:rtl/>
        </w:rPr>
        <w:t xml:space="preserve">לבית המשפט </w:t>
      </w:r>
      <w:r w:rsidR="00E169B7" w:rsidRPr="00752574">
        <w:rPr>
          <w:rFonts w:hint="cs"/>
          <w:sz w:val="24"/>
          <w:szCs w:val="32"/>
          <w:rtl/>
        </w:rPr>
        <w:t xml:space="preserve">העליון </w:t>
      </w:r>
      <w:r w:rsidR="00CB3DE9" w:rsidRPr="00752574">
        <w:rPr>
          <w:rFonts w:hint="cs"/>
          <w:sz w:val="24"/>
          <w:szCs w:val="32"/>
          <w:rtl/>
        </w:rPr>
        <w:t>ו</w:t>
      </w:r>
      <w:r w:rsidR="002E71C6" w:rsidRPr="00752574">
        <w:rPr>
          <w:rFonts w:hint="cs"/>
          <w:sz w:val="24"/>
          <w:szCs w:val="32"/>
          <w:rtl/>
        </w:rPr>
        <w:t xml:space="preserve">ביקשו </w:t>
      </w:r>
      <w:r w:rsidR="00E169B7" w:rsidRPr="00752574">
        <w:rPr>
          <w:rFonts w:hint="cs"/>
          <w:sz w:val="24"/>
          <w:szCs w:val="32"/>
          <w:rtl/>
        </w:rPr>
        <w:t>שיקבע</w:t>
      </w:r>
      <w:r w:rsidR="002E71C6" w:rsidRPr="00752574">
        <w:rPr>
          <w:rFonts w:hint="cs"/>
          <w:sz w:val="24"/>
          <w:szCs w:val="32"/>
          <w:rtl/>
        </w:rPr>
        <w:t xml:space="preserve"> אם הם זכאים</w:t>
      </w:r>
      <w:r w:rsidR="002E71C6" w:rsidRPr="00752574">
        <w:rPr>
          <w:rFonts w:hint="cs"/>
          <w:sz w:val="24"/>
          <w:szCs w:val="32"/>
          <w:rtl/>
        </w:rPr>
        <w:t xml:space="preserve"> </w:t>
      </w:r>
      <w:r w:rsidR="00830648" w:rsidRPr="00752574">
        <w:rPr>
          <w:rFonts w:hint="cs"/>
          <w:sz w:val="24"/>
          <w:szCs w:val="32"/>
          <w:rtl/>
        </w:rPr>
        <w:t>לאזרחות</w:t>
      </w:r>
      <w:r w:rsidR="002E71C6" w:rsidRPr="00752574">
        <w:rPr>
          <w:rFonts w:hint="cs"/>
          <w:sz w:val="24"/>
          <w:szCs w:val="32"/>
          <w:rtl/>
        </w:rPr>
        <w:t xml:space="preserve"> מכוח חוק השבות. ל</w:t>
      </w:r>
      <w:r w:rsidR="00EA6EA5">
        <w:rPr>
          <w:rFonts w:hint="cs"/>
          <w:sz w:val="24"/>
          <w:szCs w:val="32"/>
          <w:rtl/>
        </w:rPr>
        <w:t xml:space="preserve">פיכך, </w:t>
      </w:r>
      <w:r w:rsidR="002E71C6" w:rsidRPr="00752574">
        <w:rPr>
          <w:rFonts w:hint="cs"/>
          <w:sz w:val="24"/>
          <w:szCs w:val="32"/>
          <w:rtl/>
        </w:rPr>
        <w:t xml:space="preserve">על בית המשפט מוטלת החובה </w:t>
      </w:r>
      <w:r w:rsidR="00CB3DE9" w:rsidRPr="00752574">
        <w:rPr>
          <w:rFonts w:hint="cs"/>
          <w:sz w:val="24"/>
          <w:szCs w:val="32"/>
          <w:rtl/>
        </w:rPr>
        <w:t>ל</w:t>
      </w:r>
      <w:r w:rsidR="00EA6EA5">
        <w:rPr>
          <w:rFonts w:hint="cs"/>
          <w:sz w:val="24"/>
          <w:szCs w:val="32"/>
          <w:rtl/>
        </w:rPr>
        <w:t>הכריע בעתירות</w:t>
      </w:r>
      <w:r w:rsidR="002E71C6" w:rsidRPr="00752574">
        <w:rPr>
          <w:rFonts w:hint="cs"/>
          <w:sz w:val="24"/>
          <w:szCs w:val="32"/>
          <w:rtl/>
        </w:rPr>
        <w:t xml:space="preserve">. </w:t>
      </w:r>
    </w:p>
    <w:p w:rsidR="007F1DBB" w:rsidRPr="00752574" w:rsidRDefault="00CB3DE9" w:rsidP="00F51596">
      <w:pPr>
        <w:spacing w:line="360" w:lineRule="auto"/>
        <w:ind w:firstLine="360"/>
        <w:jc w:val="both"/>
        <w:rPr>
          <w:sz w:val="24"/>
          <w:szCs w:val="32"/>
          <w:rtl/>
        </w:rPr>
      </w:pPr>
      <w:r w:rsidRPr="00752574">
        <w:rPr>
          <w:rFonts w:hint="cs"/>
          <w:sz w:val="24"/>
          <w:szCs w:val="32"/>
          <w:u w:val="single"/>
          <w:rtl/>
        </w:rPr>
        <w:t xml:space="preserve">בית המשפט </w:t>
      </w:r>
      <w:r w:rsidR="00E169B7" w:rsidRPr="00752574">
        <w:rPr>
          <w:rFonts w:hint="cs"/>
          <w:sz w:val="24"/>
          <w:szCs w:val="32"/>
          <w:u w:val="single"/>
          <w:rtl/>
        </w:rPr>
        <w:t xml:space="preserve">סבר שהכנסת היא זו שצריכה </w:t>
      </w:r>
      <w:r w:rsidR="007271F6" w:rsidRPr="00752574">
        <w:rPr>
          <w:rFonts w:hint="cs"/>
          <w:sz w:val="24"/>
          <w:szCs w:val="32"/>
          <w:u w:val="single"/>
          <w:rtl/>
        </w:rPr>
        <w:t>להכר</w:t>
      </w:r>
      <w:r w:rsidR="00E169B7" w:rsidRPr="00752574">
        <w:rPr>
          <w:rFonts w:hint="cs"/>
          <w:sz w:val="24"/>
          <w:szCs w:val="32"/>
          <w:u w:val="single"/>
          <w:rtl/>
        </w:rPr>
        <w:t>י</w:t>
      </w:r>
      <w:r w:rsidR="007271F6" w:rsidRPr="00752574">
        <w:rPr>
          <w:rFonts w:hint="cs"/>
          <w:sz w:val="24"/>
          <w:szCs w:val="32"/>
          <w:u w:val="single"/>
          <w:rtl/>
        </w:rPr>
        <w:t>ע</w:t>
      </w:r>
      <w:r w:rsidR="00E169B7" w:rsidRPr="00752574">
        <w:rPr>
          <w:rFonts w:hint="cs"/>
          <w:sz w:val="24"/>
          <w:szCs w:val="32"/>
          <w:u w:val="single"/>
          <w:rtl/>
        </w:rPr>
        <w:t xml:space="preserve"> אם </w:t>
      </w:r>
      <w:r w:rsidR="00EA6EA5">
        <w:rPr>
          <w:rFonts w:hint="cs"/>
          <w:sz w:val="24"/>
          <w:szCs w:val="32"/>
          <w:u w:val="single"/>
          <w:rtl/>
        </w:rPr>
        <w:t xml:space="preserve">לצרכי חוק השבות </w:t>
      </w:r>
      <w:r w:rsidR="00E169B7" w:rsidRPr="00752574">
        <w:rPr>
          <w:rFonts w:hint="cs"/>
          <w:sz w:val="24"/>
          <w:szCs w:val="32"/>
          <w:u w:val="single"/>
          <w:rtl/>
        </w:rPr>
        <w:t>הגיור תקף</w:t>
      </w:r>
      <w:r w:rsidR="00EA6EA5" w:rsidRPr="00EA6EA5">
        <w:rPr>
          <w:rFonts w:hint="cs"/>
          <w:sz w:val="24"/>
          <w:szCs w:val="32"/>
          <w:rtl/>
        </w:rPr>
        <w:t>,</w:t>
      </w:r>
      <w:r w:rsidR="00353A9F">
        <w:rPr>
          <w:rFonts w:hint="cs"/>
          <w:sz w:val="24"/>
          <w:szCs w:val="32"/>
          <w:rtl/>
        </w:rPr>
        <w:t xml:space="preserve"> ו</w:t>
      </w:r>
      <w:r w:rsidR="00047C6A" w:rsidRPr="00752574">
        <w:rPr>
          <w:rFonts w:hint="cs"/>
          <w:sz w:val="24"/>
          <w:szCs w:val="32"/>
          <w:rtl/>
        </w:rPr>
        <w:t xml:space="preserve">במשך כחמש עשרה שנים </w:t>
      </w:r>
      <w:r w:rsidR="001B2C48" w:rsidRPr="00752574">
        <w:rPr>
          <w:rFonts w:hint="cs"/>
          <w:sz w:val="24"/>
          <w:szCs w:val="32"/>
          <w:rtl/>
        </w:rPr>
        <w:t>דחה את הכרעתו על מנת ש</w:t>
      </w:r>
      <w:r w:rsidR="00E169B7" w:rsidRPr="00752574">
        <w:rPr>
          <w:rFonts w:hint="cs"/>
          <w:sz w:val="24"/>
          <w:szCs w:val="32"/>
          <w:rtl/>
        </w:rPr>
        <w:t xml:space="preserve">שר הפנים </w:t>
      </w:r>
      <w:r w:rsidR="001B2C48" w:rsidRPr="00752574">
        <w:rPr>
          <w:rFonts w:hint="cs"/>
          <w:sz w:val="24"/>
          <w:szCs w:val="32"/>
          <w:rtl/>
        </w:rPr>
        <w:t>וה</w:t>
      </w:r>
      <w:r w:rsidR="00E169B7" w:rsidRPr="00752574">
        <w:rPr>
          <w:rFonts w:hint="cs"/>
          <w:sz w:val="24"/>
          <w:szCs w:val="32"/>
          <w:rtl/>
        </w:rPr>
        <w:t xml:space="preserve">כנסת </w:t>
      </w:r>
      <w:r w:rsidR="00EA6EA5">
        <w:rPr>
          <w:rFonts w:hint="cs"/>
          <w:sz w:val="24"/>
          <w:szCs w:val="32"/>
          <w:rtl/>
        </w:rPr>
        <w:t>ימצאו</w:t>
      </w:r>
      <w:r w:rsidR="00E169B7" w:rsidRPr="00752574">
        <w:rPr>
          <w:rFonts w:hint="cs"/>
          <w:sz w:val="24"/>
          <w:szCs w:val="32"/>
          <w:rtl/>
        </w:rPr>
        <w:t xml:space="preserve"> </w:t>
      </w:r>
      <w:r w:rsidR="00047C6A" w:rsidRPr="00752574">
        <w:rPr>
          <w:rFonts w:hint="cs"/>
          <w:sz w:val="24"/>
          <w:szCs w:val="32"/>
          <w:rtl/>
        </w:rPr>
        <w:t xml:space="preserve">פתרון </w:t>
      </w:r>
      <w:r w:rsidR="001B2C48" w:rsidRPr="00752574">
        <w:rPr>
          <w:rFonts w:hint="cs"/>
          <w:sz w:val="24"/>
          <w:szCs w:val="32"/>
          <w:rtl/>
        </w:rPr>
        <w:t>לעותרים ו</w:t>
      </w:r>
      <w:r w:rsidR="00E169B7" w:rsidRPr="00752574">
        <w:rPr>
          <w:rFonts w:hint="cs"/>
          <w:sz w:val="24"/>
          <w:szCs w:val="32"/>
          <w:rtl/>
        </w:rPr>
        <w:t>ל</w:t>
      </w:r>
      <w:r w:rsidR="00047C6A" w:rsidRPr="00752574">
        <w:rPr>
          <w:rFonts w:hint="cs"/>
          <w:sz w:val="24"/>
          <w:szCs w:val="32"/>
          <w:rtl/>
        </w:rPr>
        <w:t>סוגיה</w:t>
      </w:r>
      <w:r w:rsidR="001B2C48" w:rsidRPr="00752574">
        <w:rPr>
          <w:rFonts w:hint="cs"/>
          <w:sz w:val="24"/>
          <w:szCs w:val="32"/>
          <w:rtl/>
        </w:rPr>
        <w:t xml:space="preserve"> העקרונית</w:t>
      </w:r>
      <w:r w:rsidR="00E169B7" w:rsidRPr="00752574">
        <w:rPr>
          <w:rFonts w:hint="cs"/>
          <w:sz w:val="24"/>
          <w:szCs w:val="32"/>
          <w:rtl/>
        </w:rPr>
        <w:t xml:space="preserve">. </w:t>
      </w:r>
      <w:r w:rsidR="001B2C48" w:rsidRPr="00752574">
        <w:rPr>
          <w:rFonts w:hint="cs"/>
          <w:sz w:val="24"/>
          <w:szCs w:val="32"/>
          <w:rtl/>
        </w:rPr>
        <w:t>ו</w:t>
      </w:r>
      <w:r w:rsidR="00047C6A" w:rsidRPr="00752574">
        <w:rPr>
          <w:rFonts w:hint="cs"/>
          <w:sz w:val="24"/>
          <w:szCs w:val="32"/>
          <w:rtl/>
        </w:rPr>
        <w:t>אולם</w:t>
      </w:r>
      <w:r w:rsidR="002E71C6" w:rsidRPr="00752574">
        <w:rPr>
          <w:rFonts w:hint="cs"/>
          <w:sz w:val="24"/>
          <w:szCs w:val="32"/>
          <w:rtl/>
        </w:rPr>
        <w:t>,</w:t>
      </w:r>
      <w:r w:rsidR="00047C6A" w:rsidRPr="00752574">
        <w:rPr>
          <w:rFonts w:hint="cs"/>
          <w:sz w:val="24"/>
          <w:szCs w:val="32"/>
          <w:rtl/>
        </w:rPr>
        <w:t xml:space="preserve"> מאז </w:t>
      </w:r>
      <w:r w:rsidR="00F51596">
        <w:rPr>
          <w:rFonts w:hint="cs"/>
          <w:sz w:val="24"/>
          <w:szCs w:val="32"/>
          <w:rtl/>
        </w:rPr>
        <w:t>ש</w:t>
      </w:r>
      <w:r w:rsidR="00047C6A" w:rsidRPr="00752574">
        <w:rPr>
          <w:rFonts w:hint="cs"/>
          <w:sz w:val="24"/>
          <w:szCs w:val="32"/>
          <w:rtl/>
        </w:rPr>
        <w:t xml:space="preserve">הוגשו העתירות וביתר שאת מאז שנת 2016 (אז נפסק שיש להכיר </w:t>
      </w:r>
      <w:r w:rsidR="00350CE5" w:rsidRPr="00752574">
        <w:rPr>
          <w:rFonts w:hint="cs"/>
          <w:sz w:val="24"/>
          <w:szCs w:val="32"/>
          <w:rtl/>
        </w:rPr>
        <w:t xml:space="preserve">בגיור </w:t>
      </w:r>
      <w:r w:rsidR="00047C6A" w:rsidRPr="00752574">
        <w:rPr>
          <w:rFonts w:hint="cs"/>
          <w:sz w:val="24"/>
          <w:szCs w:val="32"/>
          <w:rtl/>
        </w:rPr>
        <w:t>של מי שעבר</w:t>
      </w:r>
      <w:r w:rsidR="001B2C48" w:rsidRPr="00752574">
        <w:rPr>
          <w:rFonts w:hint="cs"/>
          <w:sz w:val="24"/>
          <w:szCs w:val="32"/>
          <w:rtl/>
        </w:rPr>
        <w:t>ו</w:t>
      </w:r>
      <w:r w:rsidR="00047C6A" w:rsidRPr="00752574">
        <w:rPr>
          <w:rFonts w:hint="cs"/>
          <w:sz w:val="24"/>
          <w:szCs w:val="32"/>
          <w:rtl/>
        </w:rPr>
        <w:t xml:space="preserve"> הליכי גיור בקהיל</w:t>
      </w:r>
      <w:r w:rsidR="001B2C48" w:rsidRPr="00752574">
        <w:rPr>
          <w:rFonts w:hint="cs"/>
          <w:sz w:val="24"/>
          <w:szCs w:val="32"/>
          <w:rtl/>
        </w:rPr>
        <w:t>ות</w:t>
      </w:r>
      <w:r w:rsidR="00047C6A" w:rsidRPr="00752574">
        <w:rPr>
          <w:rFonts w:hint="cs"/>
          <w:sz w:val="24"/>
          <w:szCs w:val="32"/>
          <w:rtl/>
        </w:rPr>
        <w:t xml:space="preserve"> </w:t>
      </w:r>
      <w:r w:rsidR="00EA6EA5">
        <w:rPr>
          <w:rFonts w:hint="cs"/>
          <w:sz w:val="24"/>
          <w:szCs w:val="32"/>
          <w:rtl/>
        </w:rPr>
        <w:t>אורתודוקסיו</w:t>
      </w:r>
      <w:r w:rsidR="00EA6EA5">
        <w:rPr>
          <w:rFonts w:hint="eastAsia"/>
          <w:sz w:val="24"/>
          <w:szCs w:val="32"/>
          <w:rtl/>
        </w:rPr>
        <w:t>ת</w:t>
      </w:r>
      <w:r w:rsidR="000F0807">
        <w:rPr>
          <w:rFonts w:hint="cs"/>
          <w:sz w:val="24"/>
          <w:szCs w:val="32"/>
          <w:rtl/>
        </w:rPr>
        <w:t xml:space="preserve"> בישראל</w:t>
      </w:r>
      <w:r w:rsidR="00047C6A" w:rsidRPr="00752574">
        <w:rPr>
          <w:rFonts w:hint="cs"/>
          <w:sz w:val="24"/>
          <w:szCs w:val="32"/>
          <w:rtl/>
        </w:rPr>
        <w:t xml:space="preserve"> שלא במסגרת מערך הגיור הממלכתי)</w:t>
      </w:r>
      <w:r w:rsidR="001B2C48" w:rsidRPr="00752574">
        <w:rPr>
          <w:rFonts w:hint="cs"/>
          <w:sz w:val="24"/>
          <w:szCs w:val="32"/>
          <w:rtl/>
        </w:rPr>
        <w:t>,</w:t>
      </w:r>
      <w:r w:rsidR="00047C6A" w:rsidRPr="00752574">
        <w:rPr>
          <w:rFonts w:hint="cs"/>
          <w:sz w:val="24"/>
          <w:szCs w:val="32"/>
          <w:rtl/>
        </w:rPr>
        <w:t xml:space="preserve"> לא </w:t>
      </w:r>
      <w:r w:rsidR="001B2C48" w:rsidRPr="00752574">
        <w:rPr>
          <w:rFonts w:hint="cs"/>
          <w:sz w:val="24"/>
          <w:szCs w:val="32"/>
          <w:rtl/>
        </w:rPr>
        <w:t xml:space="preserve">אומצו הצעות </w:t>
      </w:r>
      <w:r w:rsidR="00353A9F">
        <w:rPr>
          <w:rFonts w:hint="cs"/>
          <w:sz w:val="24"/>
          <w:szCs w:val="32"/>
          <w:rtl/>
        </w:rPr>
        <w:t>שהיה בהן כדי</w:t>
      </w:r>
      <w:r w:rsidR="001B2C48" w:rsidRPr="00752574">
        <w:rPr>
          <w:rFonts w:hint="cs"/>
          <w:sz w:val="24"/>
          <w:szCs w:val="32"/>
          <w:rtl/>
        </w:rPr>
        <w:t xml:space="preserve"> לפתור את הסוגיה</w:t>
      </w:r>
      <w:r w:rsidR="00E169B7" w:rsidRPr="00752574">
        <w:rPr>
          <w:rFonts w:hint="cs"/>
          <w:sz w:val="24"/>
          <w:szCs w:val="32"/>
          <w:rtl/>
        </w:rPr>
        <w:t xml:space="preserve">. </w:t>
      </w:r>
      <w:r w:rsidR="002E71C6" w:rsidRPr="00752574">
        <w:rPr>
          <w:rFonts w:hint="cs"/>
          <w:sz w:val="24"/>
          <w:szCs w:val="32"/>
          <w:rtl/>
        </w:rPr>
        <w:t xml:space="preserve">בנסיבות אלה, כאשר העותרים ממתינים שנים רבות לדעת מה יעלה בגורלם </w:t>
      </w:r>
      <w:r w:rsidR="00F51596">
        <w:rPr>
          <w:rFonts w:hint="cs"/>
          <w:sz w:val="24"/>
          <w:szCs w:val="32"/>
          <w:rtl/>
        </w:rPr>
        <w:t xml:space="preserve">נדרש בית המשפט </w:t>
      </w:r>
      <w:r w:rsidR="00E169B7" w:rsidRPr="00752574">
        <w:rPr>
          <w:rFonts w:hint="cs"/>
          <w:sz w:val="24"/>
          <w:szCs w:val="32"/>
          <w:rtl/>
        </w:rPr>
        <w:t>להכריע בסוגיה</w:t>
      </w:r>
      <w:r w:rsidR="002E71C6" w:rsidRPr="00752574">
        <w:rPr>
          <w:rFonts w:hint="cs"/>
          <w:sz w:val="24"/>
          <w:szCs w:val="32"/>
          <w:rtl/>
        </w:rPr>
        <w:t xml:space="preserve">. </w:t>
      </w:r>
    </w:p>
    <w:p w:rsidR="00350CE5" w:rsidRPr="00353A9F" w:rsidRDefault="00350CE5" w:rsidP="00353A9F">
      <w:pPr>
        <w:spacing w:line="360" w:lineRule="auto"/>
        <w:jc w:val="both"/>
        <w:rPr>
          <w:sz w:val="32"/>
          <w:szCs w:val="32"/>
          <w:rtl/>
        </w:rPr>
      </w:pPr>
    </w:p>
    <w:p w:rsidR="008370A4" w:rsidRPr="00353A9F" w:rsidRDefault="002E71C6" w:rsidP="00EA6EA5">
      <w:pPr>
        <w:numPr>
          <w:ilvl w:val="0"/>
          <w:numId w:val="1"/>
        </w:numPr>
        <w:spacing w:line="360" w:lineRule="auto"/>
        <w:jc w:val="both"/>
        <w:rPr>
          <w:b/>
          <w:bCs/>
          <w:sz w:val="32"/>
          <w:szCs w:val="32"/>
          <w:rtl/>
        </w:rPr>
      </w:pPr>
      <w:r w:rsidRPr="00353A9F">
        <w:rPr>
          <w:rFonts w:hint="cs"/>
          <w:b/>
          <w:bCs/>
          <w:sz w:val="32"/>
          <w:szCs w:val="32"/>
          <w:rtl/>
        </w:rPr>
        <w:t>האם בית המשפט דן ב</w:t>
      </w:r>
      <w:r w:rsidR="00EA6EA5">
        <w:rPr>
          <w:rFonts w:hint="cs"/>
          <w:b/>
          <w:bCs/>
          <w:sz w:val="32"/>
          <w:szCs w:val="32"/>
          <w:rtl/>
        </w:rPr>
        <w:t>תקפו</w:t>
      </w:r>
      <w:r w:rsidRPr="00353A9F">
        <w:rPr>
          <w:rFonts w:hint="cs"/>
          <w:b/>
          <w:bCs/>
          <w:sz w:val="32"/>
          <w:szCs w:val="32"/>
          <w:rtl/>
        </w:rPr>
        <w:t xml:space="preserve"> ההלכתי של </w:t>
      </w:r>
      <w:r w:rsidR="00EA6EA5">
        <w:rPr>
          <w:rFonts w:hint="cs"/>
          <w:b/>
          <w:bCs/>
          <w:sz w:val="32"/>
          <w:szCs w:val="32"/>
          <w:rtl/>
        </w:rPr>
        <w:t>ה</w:t>
      </w:r>
      <w:r w:rsidRPr="00353A9F">
        <w:rPr>
          <w:rFonts w:hint="cs"/>
          <w:b/>
          <w:bCs/>
          <w:sz w:val="32"/>
          <w:szCs w:val="32"/>
          <w:rtl/>
        </w:rPr>
        <w:t xml:space="preserve">גיור? </w:t>
      </w:r>
    </w:p>
    <w:p w:rsidR="00E2230D" w:rsidRPr="00353A9F" w:rsidRDefault="008370A4" w:rsidP="008370AA">
      <w:pPr>
        <w:spacing w:line="360" w:lineRule="auto"/>
        <w:ind w:firstLine="360"/>
        <w:jc w:val="both"/>
        <w:rPr>
          <w:sz w:val="32"/>
          <w:szCs w:val="32"/>
          <w:rtl/>
        </w:rPr>
      </w:pPr>
      <w:r w:rsidRPr="00353A9F">
        <w:rPr>
          <w:rFonts w:hint="cs"/>
          <w:sz w:val="32"/>
          <w:szCs w:val="32"/>
          <w:rtl/>
        </w:rPr>
        <w:t>לא. בית המשפט אינו עוסק ב</w:t>
      </w:r>
      <w:r w:rsidR="00972B8E">
        <w:rPr>
          <w:rFonts w:hint="cs"/>
          <w:sz w:val="32"/>
          <w:szCs w:val="32"/>
          <w:rtl/>
        </w:rPr>
        <w:t>פרשנות ה</w:t>
      </w:r>
      <w:r w:rsidRPr="00353A9F">
        <w:rPr>
          <w:rFonts w:hint="cs"/>
          <w:sz w:val="32"/>
          <w:szCs w:val="32"/>
          <w:rtl/>
        </w:rPr>
        <w:t>הלכה היהודית אלא רק ב</w:t>
      </w:r>
      <w:r w:rsidR="00972B8E">
        <w:rPr>
          <w:rFonts w:hint="cs"/>
          <w:sz w:val="32"/>
          <w:szCs w:val="32"/>
          <w:rtl/>
        </w:rPr>
        <w:t>זכות</w:t>
      </w:r>
      <w:r w:rsidR="008370AA">
        <w:rPr>
          <w:rFonts w:hint="cs"/>
          <w:sz w:val="32"/>
          <w:szCs w:val="32"/>
          <w:rtl/>
        </w:rPr>
        <w:t xml:space="preserve"> </w:t>
      </w:r>
      <w:r w:rsidR="00972B8E">
        <w:rPr>
          <w:rFonts w:hint="cs"/>
          <w:sz w:val="32"/>
          <w:szCs w:val="32"/>
          <w:rtl/>
        </w:rPr>
        <w:t>של אדם לעלות לישראל מכוח חוק השבות</w:t>
      </w:r>
      <w:r w:rsidR="00EA6EA5">
        <w:rPr>
          <w:rFonts w:hint="cs"/>
          <w:sz w:val="32"/>
          <w:szCs w:val="32"/>
          <w:rtl/>
        </w:rPr>
        <w:t xml:space="preserve"> </w:t>
      </w:r>
      <w:r w:rsidR="00350CE5" w:rsidRPr="00353A9F">
        <w:rPr>
          <w:rFonts w:hint="cs"/>
          <w:sz w:val="32"/>
          <w:szCs w:val="32"/>
          <w:rtl/>
        </w:rPr>
        <w:t xml:space="preserve">ואין </w:t>
      </w:r>
      <w:r w:rsidR="009530CF" w:rsidRPr="00353A9F">
        <w:rPr>
          <w:rFonts w:hint="cs"/>
          <w:sz w:val="32"/>
          <w:szCs w:val="32"/>
          <w:rtl/>
        </w:rPr>
        <w:t>לכך</w:t>
      </w:r>
      <w:r w:rsidR="00350CE5" w:rsidRPr="00353A9F">
        <w:rPr>
          <w:rFonts w:hint="cs"/>
          <w:sz w:val="32"/>
          <w:szCs w:val="32"/>
          <w:rtl/>
        </w:rPr>
        <w:t xml:space="preserve"> נגיעה למעמד ההלכתי של הגיור. הפער בין הסוגיה האזרחית והשאלה ההלכתית עלה כבר</w:t>
      </w:r>
      <w:r w:rsidRPr="00353A9F">
        <w:rPr>
          <w:rFonts w:hint="cs"/>
          <w:sz w:val="32"/>
          <w:szCs w:val="32"/>
          <w:rtl/>
        </w:rPr>
        <w:t xml:space="preserve"> בשנת 1962 </w:t>
      </w:r>
      <w:r w:rsidR="00350CE5" w:rsidRPr="00353A9F">
        <w:rPr>
          <w:rFonts w:hint="cs"/>
          <w:sz w:val="32"/>
          <w:szCs w:val="32"/>
          <w:rtl/>
        </w:rPr>
        <w:t xml:space="preserve">אז </w:t>
      </w:r>
      <w:r w:rsidRPr="00353A9F">
        <w:rPr>
          <w:rFonts w:hint="cs"/>
          <w:sz w:val="32"/>
          <w:szCs w:val="32"/>
          <w:rtl/>
        </w:rPr>
        <w:t xml:space="preserve">קבע בג"ץ כי אדם </w:t>
      </w:r>
      <w:r w:rsidRPr="00353A9F">
        <w:rPr>
          <w:rFonts w:hint="cs"/>
          <w:sz w:val="32"/>
          <w:szCs w:val="32"/>
          <w:rtl/>
        </w:rPr>
        <w:lastRenderedPageBreak/>
        <w:t>שנולד להורים יהודים והמיר את דתו לנצרות אינו ז</w:t>
      </w:r>
      <w:r w:rsidR="002E71C6" w:rsidRPr="00353A9F">
        <w:rPr>
          <w:rFonts w:hint="cs"/>
          <w:sz w:val="32"/>
          <w:szCs w:val="32"/>
          <w:rtl/>
        </w:rPr>
        <w:t>כאי לעלות לישראל מכוח חוק השבות. זאת, אף ש</w:t>
      </w:r>
      <w:r w:rsidR="00350CE5" w:rsidRPr="00353A9F">
        <w:rPr>
          <w:rFonts w:hint="cs"/>
          <w:sz w:val="32"/>
          <w:szCs w:val="32"/>
          <w:rtl/>
        </w:rPr>
        <w:t xml:space="preserve">מבחינה הלכתית </w:t>
      </w:r>
      <w:r w:rsidR="002E71C6" w:rsidRPr="00353A9F">
        <w:rPr>
          <w:rFonts w:hint="cs"/>
          <w:sz w:val="32"/>
          <w:szCs w:val="32"/>
          <w:rtl/>
        </w:rPr>
        <w:t>"אף על פי שהמיר דתו, מכל מקו</w:t>
      </w:r>
      <w:r w:rsidR="008370AA">
        <w:rPr>
          <w:rFonts w:hint="cs"/>
          <w:sz w:val="32"/>
          <w:szCs w:val="32"/>
          <w:rtl/>
        </w:rPr>
        <w:t xml:space="preserve">ם ישראל הוא" (בג"ץ 72/62 </w:t>
      </w:r>
      <w:proofErr w:type="spellStart"/>
      <w:r w:rsidR="008370AA">
        <w:rPr>
          <w:rFonts w:hint="cs"/>
          <w:sz w:val="32"/>
          <w:szCs w:val="32"/>
          <w:rtl/>
        </w:rPr>
        <w:t>רופאיז</w:t>
      </w:r>
      <w:r w:rsidR="002E71C6" w:rsidRPr="00353A9F">
        <w:rPr>
          <w:rFonts w:hint="cs"/>
          <w:sz w:val="32"/>
          <w:szCs w:val="32"/>
          <w:rtl/>
        </w:rPr>
        <w:t>ן</w:t>
      </w:r>
      <w:proofErr w:type="spellEnd"/>
      <w:r w:rsidR="002E71C6" w:rsidRPr="00353A9F">
        <w:rPr>
          <w:rFonts w:hint="cs"/>
          <w:sz w:val="32"/>
          <w:szCs w:val="32"/>
          <w:rtl/>
        </w:rPr>
        <w:t xml:space="preserve"> נ' שר הפנים).</w:t>
      </w:r>
      <w:r w:rsidR="00353A9F">
        <w:rPr>
          <w:rFonts w:hint="cs"/>
          <w:sz w:val="32"/>
          <w:szCs w:val="32"/>
          <w:rtl/>
        </w:rPr>
        <w:t xml:space="preserve"> </w:t>
      </w:r>
    </w:p>
    <w:p w:rsidR="007E0D1C" w:rsidRPr="00353A9F" w:rsidRDefault="007E0D1C" w:rsidP="00353A9F">
      <w:pPr>
        <w:spacing w:line="360" w:lineRule="auto"/>
        <w:jc w:val="both"/>
        <w:rPr>
          <w:b/>
          <w:bCs/>
          <w:sz w:val="32"/>
          <w:szCs w:val="32"/>
          <w:rtl/>
        </w:rPr>
      </w:pPr>
    </w:p>
    <w:p w:rsidR="008370A4" w:rsidRPr="00353A9F" w:rsidRDefault="002E71C6" w:rsidP="00353A9F">
      <w:pPr>
        <w:numPr>
          <w:ilvl w:val="0"/>
          <w:numId w:val="1"/>
        </w:numPr>
        <w:spacing w:line="360" w:lineRule="auto"/>
        <w:jc w:val="both"/>
        <w:rPr>
          <w:b/>
          <w:bCs/>
          <w:sz w:val="32"/>
          <w:szCs w:val="32"/>
          <w:rtl/>
        </w:rPr>
      </w:pPr>
      <w:r w:rsidRPr="00353A9F">
        <w:rPr>
          <w:rFonts w:hint="cs"/>
          <w:b/>
          <w:bCs/>
          <w:sz w:val="32"/>
          <w:szCs w:val="32"/>
          <w:rtl/>
        </w:rPr>
        <w:t>האם יש חידוש משפטי בפסק הדין?</w:t>
      </w:r>
    </w:p>
    <w:p w:rsidR="00DD54FB" w:rsidRPr="00733177" w:rsidRDefault="00D6163F" w:rsidP="00733177">
      <w:pPr>
        <w:spacing w:line="360" w:lineRule="auto"/>
        <w:ind w:firstLine="360"/>
        <w:jc w:val="both"/>
        <w:rPr>
          <w:rFonts w:cs="Miriam"/>
          <w:sz w:val="28"/>
          <w:rtl/>
        </w:rPr>
      </w:pPr>
      <w:r w:rsidRPr="00353A9F">
        <w:rPr>
          <w:rFonts w:hint="cs"/>
          <w:sz w:val="32"/>
          <w:szCs w:val="32"/>
          <w:rtl/>
        </w:rPr>
        <w:t xml:space="preserve">לא. בעבר הוגשה עתירה דומה לבג"ץ על ידי </w:t>
      </w:r>
      <w:r w:rsidR="007F1DBB" w:rsidRPr="00353A9F">
        <w:rPr>
          <w:rFonts w:hint="cs"/>
          <w:sz w:val="32"/>
          <w:szCs w:val="32"/>
          <w:rtl/>
        </w:rPr>
        <w:t>מי</w:t>
      </w:r>
      <w:r w:rsidRPr="00353A9F">
        <w:rPr>
          <w:rFonts w:hint="cs"/>
          <w:sz w:val="32"/>
          <w:szCs w:val="32"/>
          <w:rtl/>
        </w:rPr>
        <w:t xml:space="preserve"> שהתגיירו </w:t>
      </w:r>
      <w:r w:rsidR="009530CF" w:rsidRPr="00353A9F">
        <w:rPr>
          <w:rFonts w:hint="cs"/>
          <w:sz w:val="32"/>
          <w:szCs w:val="32"/>
          <w:rtl/>
        </w:rPr>
        <w:t>ב</w:t>
      </w:r>
      <w:r w:rsidR="008370AA">
        <w:rPr>
          <w:rFonts w:hint="cs"/>
          <w:sz w:val="32"/>
          <w:szCs w:val="32"/>
          <w:rtl/>
        </w:rPr>
        <w:t xml:space="preserve">גיור אורתודוכסי </w:t>
      </w:r>
      <w:r w:rsidR="00733177">
        <w:rPr>
          <w:rFonts w:hint="cs"/>
          <w:sz w:val="32"/>
          <w:szCs w:val="32"/>
          <w:rtl/>
        </w:rPr>
        <w:t>בישראל (</w:t>
      </w:r>
      <w:r w:rsidR="008370AA">
        <w:rPr>
          <w:rFonts w:hint="cs"/>
          <w:sz w:val="32"/>
          <w:szCs w:val="32"/>
          <w:rtl/>
        </w:rPr>
        <w:t>שלא במסגרת הגיור הממלכתי</w:t>
      </w:r>
      <w:r w:rsidR="00733177">
        <w:rPr>
          <w:rFonts w:hint="cs"/>
          <w:sz w:val="32"/>
          <w:szCs w:val="32"/>
          <w:rtl/>
        </w:rPr>
        <w:t>)</w:t>
      </w:r>
      <w:r w:rsidR="008370AA">
        <w:rPr>
          <w:rFonts w:hint="cs"/>
          <w:sz w:val="32"/>
          <w:szCs w:val="32"/>
          <w:rtl/>
        </w:rPr>
        <w:t xml:space="preserve"> ב</w:t>
      </w:r>
      <w:r w:rsidR="009530CF" w:rsidRPr="00353A9F">
        <w:rPr>
          <w:rFonts w:hint="cs"/>
          <w:sz w:val="32"/>
          <w:szCs w:val="32"/>
          <w:rtl/>
        </w:rPr>
        <w:t xml:space="preserve">בתי הדין של הרב ניסים </w:t>
      </w:r>
      <w:proofErr w:type="spellStart"/>
      <w:r w:rsidR="009530CF" w:rsidRPr="00353A9F">
        <w:rPr>
          <w:rFonts w:hint="cs"/>
          <w:sz w:val="32"/>
          <w:szCs w:val="32"/>
          <w:rtl/>
        </w:rPr>
        <w:t>קרליץ</w:t>
      </w:r>
      <w:proofErr w:type="spellEnd"/>
      <w:r w:rsidR="009530CF" w:rsidRPr="00353A9F">
        <w:rPr>
          <w:rFonts w:hint="cs"/>
          <w:sz w:val="32"/>
          <w:szCs w:val="32"/>
          <w:rtl/>
        </w:rPr>
        <w:t xml:space="preserve"> בבני ברק ושל הרב פרנק במאה שערים</w:t>
      </w:r>
      <w:r w:rsidR="001B2C48" w:rsidRPr="00353A9F">
        <w:rPr>
          <w:rFonts w:hint="cs"/>
          <w:sz w:val="32"/>
          <w:szCs w:val="32"/>
          <w:rtl/>
        </w:rPr>
        <w:t xml:space="preserve"> (בג"ץ </w:t>
      </w:r>
      <w:r w:rsidR="001B2C48" w:rsidRPr="00353A9F">
        <w:rPr>
          <w:sz w:val="32"/>
          <w:szCs w:val="32"/>
          <w:rtl/>
        </w:rPr>
        <w:t>7625</w:t>
      </w:r>
      <w:r w:rsidR="001B2C48" w:rsidRPr="00353A9F">
        <w:rPr>
          <w:rFonts w:hint="cs"/>
          <w:sz w:val="32"/>
          <w:szCs w:val="32"/>
          <w:rtl/>
        </w:rPr>
        <w:t xml:space="preserve">/06 </w:t>
      </w:r>
      <w:proofErr w:type="spellStart"/>
      <w:r w:rsidR="001B2C48" w:rsidRPr="00353A9F">
        <w:rPr>
          <w:rFonts w:hint="cs"/>
          <w:sz w:val="32"/>
          <w:szCs w:val="32"/>
          <w:rtl/>
        </w:rPr>
        <w:t>רגצ'ובה</w:t>
      </w:r>
      <w:proofErr w:type="spellEnd"/>
      <w:r w:rsidR="001B2C48" w:rsidRPr="00353A9F">
        <w:rPr>
          <w:rFonts w:hint="cs"/>
          <w:sz w:val="32"/>
          <w:szCs w:val="32"/>
          <w:rtl/>
        </w:rPr>
        <w:t xml:space="preserve"> נ' משרד הפנים)</w:t>
      </w:r>
      <w:r w:rsidRPr="00353A9F">
        <w:rPr>
          <w:rFonts w:hint="cs"/>
          <w:sz w:val="32"/>
          <w:szCs w:val="32"/>
          <w:rtl/>
        </w:rPr>
        <w:t xml:space="preserve">. בית המשפט </w:t>
      </w:r>
      <w:r w:rsidR="00733177">
        <w:rPr>
          <w:rFonts w:hint="cs"/>
          <w:sz w:val="32"/>
          <w:szCs w:val="32"/>
          <w:rtl/>
        </w:rPr>
        <w:t xml:space="preserve">אימץ לעניין זה את </w:t>
      </w:r>
      <w:r w:rsidR="002E71C6" w:rsidRPr="00F47122">
        <w:rPr>
          <w:rFonts w:cs="Miriam" w:hint="cs"/>
          <w:sz w:val="28"/>
          <w:rtl/>
        </w:rPr>
        <w:t>מבחן הקהילה היהודית המוכרת</w:t>
      </w:r>
      <w:r w:rsidR="002E71C6" w:rsidRPr="00353A9F">
        <w:rPr>
          <w:rFonts w:hint="cs"/>
          <w:sz w:val="32"/>
          <w:szCs w:val="32"/>
          <w:rtl/>
        </w:rPr>
        <w:t xml:space="preserve">. דהיינו, שהגיור נעשה </w:t>
      </w:r>
      <w:r w:rsidR="000B6D70" w:rsidRPr="00353A9F">
        <w:rPr>
          <w:rFonts w:ascii="Century" w:hAnsi="Century" w:hint="cs"/>
          <w:sz w:val="32"/>
          <w:szCs w:val="32"/>
          <w:rtl/>
        </w:rPr>
        <w:t>בקהילה יהודית מוכרת בהתאם לאמות המידה המקובלות בה</w:t>
      </w:r>
      <w:r w:rsidR="002E71C6" w:rsidRPr="00353A9F">
        <w:rPr>
          <w:rFonts w:hint="cs"/>
          <w:sz w:val="32"/>
          <w:szCs w:val="32"/>
          <w:rtl/>
        </w:rPr>
        <w:t xml:space="preserve">. בית המשפט קבע כי בתי הדין של הרב ניסים </w:t>
      </w:r>
      <w:proofErr w:type="spellStart"/>
      <w:r w:rsidR="002E71C6" w:rsidRPr="00353A9F">
        <w:rPr>
          <w:rFonts w:hint="cs"/>
          <w:sz w:val="32"/>
          <w:szCs w:val="32"/>
          <w:rtl/>
        </w:rPr>
        <w:t>קרליץ</w:t>
      </w:r>
      <w:proofErr w:type="spellEnd"/>
      <w:r w:rsidR="002E71C6" w:rsidRPr="00353A9F">
        <w:rPr>
          <w:rFonts w:hint="cs"/>
          <w:sz w:val="32"/>
          <w:szCs w:val="32"/>
          <w:rtl/>
        </w:rPr>
        <w:t xml:space="preserve"> ושל הרב פרנק, עונ</w:t>
      </w:r>
      <w:r w:rsidR="007F1DBB" w:rsidRPr="00353A9F">
        <w:rPr>
          <w:rFonts w:hint="cs"/>
          <w:sz w:val="32"/>
          <w:szCs w:val="32"/>
          <w:rtl/>
        </w:rPr>
        <w:t>ים</w:t>
      </w:r>
      <w:r w:rsidR="002E71C6" w:rsidRPr="00353A9F">
        <w:rPr>
          <w:rFonts w:hint="cs"/>
          <w:sz w:val="32"/>
          <w:szCs w:val="32"/>
          <w:rtl/>
        </w:rPr>
        <w:t xml:space="preserve"> על הגדרת </w:t>
      </w:r>
      <w:r w:rsidR="007F1DBB" w:rsidRPr="00F47122">
        <w:rPr>
          <w:rFonts w:cs="Miriam" w:hint="cs"/>
          <w:sz w:val="28"/>
          <w:rtl/>
        </w:rPr>
        <w:t>קהילה יהודית מוכרת</w:t>
      </w:r>
      <w:r w:rsidR="007F1DBB" w:rsidRPr="00353A9F">
        <w:rPr>
          <w:rFonts w:hint="cs"/>
          <w:sz w:val="32"/>
          <w:szCs w:val="32"/>
          <w:rtl/>
        </w:rPr>
        <w:t xml:space="preserve"> </w:t>
      </w:r>
      <w:r w:rsidR="00294C33" w:rsidRPr="00353A9F">
        <w:rPr>
          <w:rFonts w:hint="cs"/>
          <w:sz w:val="32"/>
          <w:szCs w:val="32"/>
          <w:rtl/>
        </w:rPr>
        <w:t xml:space="preserve">וכי </w:t>
      </w:r>
      <w:r w:rsidR="007F1DBB" w:rsidRPr="00353A9F">
        <w:rPr>
          <w:rFonts w:hint="cs"/>
          <w:sz w:val="32"/>
          <w:szCs w:val="32"/>
          <w:rtl/>
        </w:rPr>
        <w:t>מי שנתגייר בהם זכאי לקבל אזרחות ישראלית מכוח חוק השבות</w:t>
      </w:r>
      <w:r w:rsidR="002E71C6" w:rsidRPr="00353A9F">
        <w:rPr>
          <w:rFonts w:hint="cs"/>
          <w:sz w:val="32"/>
          <w:szCs w:val="32"/>
          <w:rtl/>
        </w:rPr>
        <w:t xml:space="preserve">. </w:t>
      </w:r>
    </w:p>
    <w:p w:rsidR="001B2C48" w:rsidRPr="00353A9F" w:rsidRDefault="009530CF" w:rsidP="00353A9F">
      <w:pPr>
        <w:spacing w:line="360" w:lineRule="auto"/>
        <w:ind w:firstLine="360"/>
        <w:jc w:val="both"/>
        <w:rPr>
          <w:sz w:val="32"/>
          <w:szCs w:val="32"/>
          <w:rtl/>
        </w:rPr>
      </w:pPr>
      <w:r w:rsidRPr="00353A9F">
        <w:rPr>
          <w:rFonts w:hint="cs"/>
          <w:sz w:val="32"/>
          <w:szCs w:val="32"/>
          <w:rtl/>
        </w:rPr>
        <w:t xml:space="preserve">בתיק זה </w:t>
      </w:r>
      <w:r w:rsidR="00DD54FB" w:rsidRPr="00353A9F">
        <w:rPr>
          <w:rFonts w:hint="cs"/>
          <w:sz w:val="32"/>
          <w:szCs w:val="32"/>
          <w:rtl/>
        </w:rPr>
        <w:t xml:space="preserve">בית המשפט הפעיל </w:t>
      </w:r>
      <w:r w:rsidR="007F1DBB" w:rsidRPr="00353A9F">
        <w:rPr>
          <w:rFonts w:hint="cs"/>
          <w:sz w:val="32"/>
          <w:szCs w:val="32"/>
          <w:rtl/>
        </w:rPr>
        <w:t xml:space="preserve">שוב </w:t>
      </w:r>
      <w:r w:rsidR="00DD54FB" w:rsidRPr="00353A9F">
        <w:rPr>
          <w:rFonts w:hint="cs"/>
          <w:sz w:val="32"/>
          <w:szCs w:val="32"/>
          <w:rtl/>
        </w:rPr>
        <w:t xml:space="preserve">את </w:t>
      </w:r>
      <w:r w:rsidR="007F1DBB" w:rsidRPr="00F47122">
        <w:rPr>
          <w:rFonts w:cs="Miriam" w:hint="cs"/>
          <w:sz w:val="28"/>
          <w:rtl/>
        </w:rPr>
        <w:t>מבחן הקהילה היהודית המוכרת</w:t>
      </w:r>
      <w:r w:rsidR="00DD54FB" w:rsidRPr="00353A9F">
        <w:rPr>
          <w:rFonts w:hint="cs"/>
          <w:sz w:val="32"/>
          <w:szCs w:val="32"/>
          <w:rtl/>
        </w:rPr>
        <w:t xml:space="preserve">. </w:t>
      </w:r>
      <w:r w:rsidR="007F1DBB" w:rsidRPr="00353A9F">
        <w:rPr>
          <w:rFonts w:hint="cs"/>
          <w:sz w:val="32"/>
          <w:szCs w:val="32"/>
          <w:rtl/>
        </w:rPr>
        <w:t xml:space="preserve">כל </w:t>
      </w:r>
      <w:r w:rsidR="00DD54FB" w:rsidRPr="00353A9F">
        <w:rPr>
          <w:rFonts w:hint="cs"/>
          <w:sz w:val="32"/>
          <w:szCs w:val="32"/>
          <w:rtl/>
        </w:rPr>
        <w:t xml:space="preserve">שופטי ההרכב סברו שהגיורים שעברו העותרים </w:t>
      </w:r>
      <w:r w:rsidR="00294C33" w:rsidRPr="00353A9F">
        <w:rPr>
          <w:rFonts w:hint="cs"/>
          <w:sz w:val="32"/>
          <w:szCs w:val="32"/>
          <w:rtl/>
        </w:rPr>
        <w:t xml:space="preserve">בקהילות רפורמיות </w:t>
      </w:r>
      <w:proofErr w:type="spellStart"/>
      <w:r w:rsidR="00294C33" w:rsidRPr="00353A9F">
        <w:rPr>
          <w:rFonts w:hint="cs"/>
          <w:sz w:val="32"/>
          <w:szCs w:val="32"/>
          <w:rtl/>
        </w:rPr>
        <w:t>וקונסרביטיביות</w:t>
      </w:r>
      <w:proofErr w:type="spellEnd"/>
      <w:r w:rsidR="00294C33" w:rsidRPr="00353A9F">
        <w:rPr>
          <w:rFonts w:hint="cs"/>
          <w:sz w:val="32"/>
          <w:szCs w:val="32"/>
          <w:rtl/>
        </w:rPr>
        <w:t xml:space="preserve"> עונים להגדרת </w:t>
      </w:r>
      <w:r w:rsidR="00294C33" w:rsidRPr="00F47122">
        <w:rPr>
          <w:rFonts w:cs="Miriam" w:hint="cs"/>
          <w:sz w:val="28"/>
          <w:rtl/>
        </w:rPr>
        <w:t>קהילה יהודית מוכרת</w:t>
      </w:r>
      <w:r w:rsidR="00DD54FB" w:rsidRPr="00353A9F">
        <w:rPr>
          <w:rFonts w:hint="cs"/>
          <w:sz w:val="32"/>
          <w:szCs w:val="32"/>
          <w:rtl/>
        </w:rPr>
        <w:t xml:space="preserve">. </w:t>
      </w:r>
    </w:p>
    <w:p w:rsidR="00DD54FB" w:rsidRPr="00353A9F" w:rsidRDefault="001B2C48" w:rsidP="00733177">
      <w:pPr>
        <w:spacing w:line="360" w:lineRule="auto"/>
        <w:ind w:firstLine="360"/>
        <w:jc w:val="both"/>
        <w:rPr>
          <w:sz w:val="32"/>
          <w:szCs w:val="32"/>
          <w:rtl/>
        </w:rPr>
      </w:pPr>
      <w:r w:rsidRPr="00353A9F">
        <w:rPr>
          <w:rFonts w:hint="cs"/>
          <w:sz w:val="32"/>
          <w:szCs w:val="32"/>
          <w:rtl/>
        </w:rPr>
        <w:t>גם שר הפנים</w:t>
      </w:r>
      <w:r w:rsidR="00733177">
        <w:rPr>
          <w:rFonts w:hint="cs"/>
          <w:sz w:val="32"/>
          <w:szCs w:val="32"/>
          <w:rtl/>
        </w:rPr>
        <w:t xml:space="preserve"> </w:t>
      </w:r>
      <w:r w:rsidRPr="00353A9F">
        <w:rPr>
          <w:rFonts w:hint="cs"/>
          <w:sz w:val="32"/>
          <w:szCs w:val="32"/>
          <w:rtl/>
        </w:rPr>
        <w:t xml:space="preserve">בתשובה לבית המשפט בתיק הנוכחי לא טען כי יש שוני </w:t>
      </w:r>
      <w:r w:rsidR="00E34BCD">
        <w:rPr>
          <w:rFonts w:hint="cs"/>
          <w:sz w:val="32"/>
          <w:szCs w:val="32"/>
          <w:rtl/>
        </w:rPr>
        <w:t xml:space="preserve">רלוונטי </w:t>
      </w:r>
      <w:r w:rsidRPr="00353A9F">
        <w:rPr>
          <w:rFonts w:hint="cs"/>
          <w:sz w:val="32"/>
          <w:szCs w:val="32"/>
          <w:rtl/>
        </w:rPr>
        <w:t xml:space="preserve">בין הגיור בבתי הדין של הרב </w:t>
      </w:r>
      <w:proofErr w:type="spellStart"/>
      <w:r w:rsidRPr="00353A9F">
        <w:rPr>
          <w:rFonts w:hint="cs"/>
          <w:sz w:val="32"/>
          <w:szCs w:val="32"/>
          <w:rtl/>
        </w:rPr>
        <w:t>קרליץ</w:t>
      </w:r>
      <w:proofErr w:type="spellEnd"/>
      <w:r w:rsidRPr="00353A9F">
        <w:rPr>
          <w:rFonts w:hint="cs"/>
          <w:sz w:val="32"/>
          <w:szCs w:val="32"/>
          <w:rtl/>
        </w:rPr>
        <w:t xml:space="preserve"> והרב פרנק ובין גיור שנעשה בישראל בקהילות רפורמיות </w:t>
      </w:r>
      <w:proofErr w:type="spellStart"/>
      <w:r w:rsidRPr="00353A9F">
        <w:rPr>
          <w:rFonts w:hint="cs"/>
          <w:sz w:val="32"/>
          <w:szCs w:val="32"/>
          <w:rtl/>
        </w:rPr>
        <w:t>וקונסרביטיביות</w:t>
      </w:r>
      <w:proofErr w:type="spellEnd"/>
      <w:r w:rsidRPr="00353A9F">
        <w:rPr>
          <w:rFonts w:hint="cs"/>
          <w:sz w:val="32"/>
          <w:szCs w:val="32"/>
          <w:rtl/>
        </w:rPr>
        <w:t>.</w:t>
      </w:r>
    </w:p>
    <w:p w:rsidR="007F1DBB" w:rsidRPr="00353A9F" w:rsidRDefault="007F1DBB" w:rsidP="00353A9F">
      <w:pPr>
        <w:spacing w:line="360" w:lineRule="auto"/>
        <w:jc w:val="both"/>
        <w:rPr>
          <w:b/>
          <w:bCs/>
          <w:sz w:val="32"/>
          <w:szCs w:val="32"/>
          <w:rtl/>
        </w:rPr>
      </w:pPr>
    </w:p>
    <w:p w:rsidR="008370A4" w:rsidRPr="00353A9F" w:rsidRDefault="002E71C6" w:rsidP="00353A9F">
      <w:pPr>
        <w:numPr>
          <w:ilvl w:val="0"/>
          <w:numId w:val="1"/>
        </w:numPr>
        <w:spacing w:line="360" w:lineRule="auto"/>
        <w:jc w:val="both"/>
        <w:rPr>
          <w:sz w:val="32"/>
          <w:szCs w:val="32"/>
          <w:rtl/>
        </w:rPr>
      </w:pPr>
      <w:r w:rsidRPr="00353A9F">
        <w:rPr>
          <w:rFonts w:hint="cs"/>
          <w:b/>
          <w:bCs/>
          <w:sz w:val="32"/>
          <w:szCs w:val="32"/>
          <w:rtl/>
        </w:rPr>
        <w:t xml:space="preserve">מה </w:t>
      </w:r>
      <w:proofErr w:type="spellStart"/>
      <w:r w:rsidRPr="00353A9F">
        <w:rPr>
          <w:rFonts w:hint="cs"/>
          <w:b/>
          <w:bCs/>
          <w:sz w:val="32"/>
          <w:szCs w:val="32"/>
          <w:rtl/>
        </w:rPr>
        <w:t>היתה</w:t>
      </w:r>
      <w:proofErr w:type="spellEnd"/>
      <w:r w:rsidRPr="00353A9F">
        <w:rPr>
          <w:rFonts w:hint="cs"/>
          <w:b/>
          <w:bCs/>
          <w:sz w:val="32"/>
          <w:szCs w:val="32"/>
          <w:rtl/>
        </w:rPr>
        <w:t xml:space="preserve"> המציאות המשפטית לפני פסק הדין ומה המציאות המשפטית אחרי פסק הדין</w:t>
      </w:r>
      <w:r w:rsidRPr="00353A9F">
        <w:rPr>
          <w:rFonts w:hint="cs"/>
          <w:sz w:val="32"/>
          <w:szCs w:val="32"/>
          <w:rtl/>
        </w:rPr>
        <w:t xml:space="preserve">?  </w:t>
      </w:r>
    </w:p>
    <w:p w:rsidR="007D6144" w:rsidRPr="00353A9F" w:rsidRDefault="00294C33" w:rsidP="00353A9F">
      <w:pPr>
        <w:spacing w:line="360" w:lineRule="auto"/>
        <w:ind w:firstLine="360"/>
        <w:jc w:val="both"/>
        <w:rPr>
          <w:sz w:val="32"/>
          <w:szCs w:val="32"/>
          <w:rtl/>
        </w:rPr>
      </w:pPr>
      <w:r w:rsidRPr="00353A9F">
        <w:rPr>
          <w:rFonts w:hint="cs"/>
          <w:sz w:val="32"/>
          <w:szCs w:val="32"/>
          <w:rtl/>
        </w:rPr>
        <w:t>לפני פסק הדין הנוכחי</w:t>
      </w:r>
      <w:r w:rsidR="008E1E77" w:rsidRPr="00353A9F">
        <w:rPr>
          <w:rFonts w:hint="cs"/>
          <w:sz w:val="32"/>
          <w:szCs w:val="32"/>
          <w:rtl/>
        </w:rPr>
        <w:t xml:space="preserve"> </w:t>
      </w:r>
      <w:r w:rsidR="009530CF" w:rsidRPr="00353A9F">
        <w:rPr>
          <w:rFonts w:hint="cs"/>
          <w:sz w:val="32"/>
          <w:szCs w:val="32"/>
          <w:rtl/>
        </w:rPr>
        <w:t>הכיר שר הפנים בגיורים שעורכות קהילות רפורמיות וקונסרבטיביות</w:t>
      </w:r>
      <w:r w:rsidR="009530CF" w:rsidRPr="00353A9F">
        <w:rPr>
          <w:rFonts w:hint="eastAsia"/>
          <w:sz w:val="32"/>
          <w:szCs w:val="32"/>
          <w:rtl/>
        </w:rPr>
        <w:t xml:space="preserve"> בחו</w:t>
      </w:r>
      <w:r w:rsidR="009530CF" w:rsidRPr="00353A9F">
        <w:rPr>
          <w:sz w:val="32"/>
          <w:szCs w:val="32"/>
          <w:rtl/>
        </w:rPr>
        <w:t>"</w:t>
      </w:r>
      <w:r w:rsidR="009530CF" w:rsidRPr="00353A9F">
        <w:rPr>
          <w:rFonts w:hint="eastAsia"/>
          <w:sz w:val="32"/>
          <w:szCs w:val="32"/>
          <w:rtl/>
        </w:rPr>
        <w:t>ל</w:t>
      </w:r>
      <w:r w:rsidR="009530CF" w:rsidRPr="00353A9F">
        <w:rPr>
          <w:rFonts w:hint="cs"/>
          <w:sz w:val="32"/>
          <w:szCs w:val="32"/>
          <w:rtl/>
        </w:rPr>
        <w:t xml:space="preserve"> והמתגיירים</w:t>
      </w:r>
      <w:r w:rsidRPr="00353A9F">
        <w:rPr>
          <w:rFonts w:hint="cs"/>
          <w:sz w:val="32"/>
          <w:szCs w:val="32"/>
          <w:rtl/>
        </w:rPr>
        <w:t xml:space="preserve"> בקהילות אלה</w:t>
      </w:r>
      <w:r w:rsidR="009530CF" w:rsidRPr="00353A9F">
        <w:rPr>
          <w:rFonts w:hint="cs"/>
          <w:sz w:val="32"/>
          <w:szCs w:val="32"/>
          <w:rtl/>
        </w:rPr>
        <w:t xml:space="preserve"> יכלו לעלות לישראל מכוח חוק השבות. </w:t>
      </w:r>
      <w:r w:rsidRPr="00353A9F">
        <w:rPr>
          <w:rFonts w:hint="cs"/>
          <w:sz w:val="32"/>
          <w:szCs w:val="32"/>
          <w:rtl/>
        </w:rPr>
        <w:t xml:space="preserve">פסק הדין קובע שגם אם הגיור נעשה בישראל יוכלו המתגיירים לקבל אזרחות מכוח חוק השבות. </w:t>
      </w:r>
    </w:p>
    <w:p w:rsidR="00294C33" w:rsidRPr="00353A9F" w:rsidRDefault="00294C33" w:rsidP="00353A9F">
      <w:pPr>
        <w:spacing w:line="360" w:lineRule="auto"/>
        <w:jc w:val="both"/>
        <w:rPr>
          <w:sz w:val="32"/>
          <w:szCs w:val="32"/>
          <w:rtl/>
        </w:rPr>
      </w:pPr>
    </w:p>
    <w:p w:rsidR="007D6144" w:rsidRPr="00353A9F" w:rsidRDefault="002E71C6" w:rsidP="00353A9F">
      <w:pPr>
        <w:numPr>
          <w:ilvl w:val="0"/>
          <w:numId w:val="1"/>
        </w:numPr>
        <w:spacing w:line="360" w:lineRule="auto"/>
        <w:jc w:val="both"/>
        <w:rPr>
          <w:b/>
          <w:bCs/>
          <w:sz w:val="32"/>
          <w:szCs w:val="32"/>
          <w:rtl/>
        </w:rPr>
      </w:pPr>
      <w:r w:rsidRPr="00353A9F">
        <w:rPr>
          <w:rFonts w:hint="cs"/>
          <w:b/>
          <w:bCs/>
          <w:sz w:val="32"/>
          <w:szCs w:val="32"/>
          <w:rtl/>
        </w:rPr>
        <w:lastRenderedPageBreak/>
        <w:t xml:space="preserve">האם פסק הדין סוגר את הדלת להסדרים אחרים? </w:t>
      </w:r>
    </w:p>
    <w:p w:rsidR="007D6144" w:rsidRPr="00353A9F" w:rsidRDefault="002E71C6" w:rsidP="00F51596">
      <w:pPr>
        <w:spacing w:line="360" w:lineRule="auto"/>
        <w:ind w:firstLine="360"/>
        <w:jc w:val="both"/>
        <w:rPr>
          <w:sz w:val="32"/>
          <w:szCs w:val="32"/>
          <w:rtl/>
        </w:rPr>
      </w:pPr>
      <w:r w:rsidRPr="00353A9F">
        <w:rPr>
          <w:rFonts w:hint="cs"/>
          <w:sz w:val="32"/>
          <w:szCs w:val="32"/>
          <w:rtl/>
        </w:rPr>
        <w:t>לא. פסק הדין קובע את הדין על פי החוק</w:t>
      </w:r>
      <w:r w:rsidR="000B6D70" w:rsidRPr="00353A9F">
        <w:rPr>
          <w:rFonts w:hint="cs"/>
          <w:sz w:val="32"/>
          <w:szCs w:val="32"/>
          <w:rtl/>
        </w:rPr>
        <w:t xml:space="preserve"> הקיים</w:t>
      </w:r>
      <w:r w:rsidRPr="00353A9F">
        <w:rPr>
          <w:rFonts w:hint="cs"/>
          <w:sz w:val="32"/>
          <w:szCs w:val="32"/>
          <w:rtl/>
        </w:rPr>
        <w:t>. ה</w:t>
      </w:r>
      <w:r w:rsidR="000B6D70" w:rsidRPr="00353A9F">
        <w:rPr>
          <w:rFonts w:hint="cs"/>
          <w:sz w:val="32"/>
          <w:szCs w:val="32"/>
          <w:rtl/>
        </w:rPr>
        <w:t xml:space="preserve">כנסת יכולה </w:t>
      </w:r>
      <w:r w:rsidR="00F51596">
        <w:rPr>
          <w:rFonts w:hint="cs"/>
          <w:sz w:val="32"/>
          <w:szCs w:val="32"/>
          <w:rtl/>
        </w:rPr>
        <w:t xml:space="preserve">בכל עת לקבוע הסדר אחר </w:t>
      </w:r>
      <w:r w:rsidR="000B6D70" w:rsidRPr="00353A9F">
        <w:rPr>
          <w:rFonts w:hint="cs"/>
          <w:sz w:val="32"/>
          <w:szCs w:val="32"/>
          <w:rtl/>
        </w:rPr>
        <w:t>ב</w:t>
      </w:r>
      <w:r w:rsidRPr="00353A9F">
        <w:rPr>
          <w:rFonts w:hint="cs"/>
          <w:sz w:val="32"/>
          <w:szCs w:val="32"/>
          <w:rtl/>
        </w:rPr>
        <w:t xml:space="preserve">חוק. </w:t>
      </w:r>
    </w:p>
    <w:p w:rsidR="000B6D70" w:rsidRPr="00353A9F" w:rsidRDefault="000B6D70" w:rsidP="00353A9F">
      <w:pPr>
        <w:spacing w:line="360" w:lineRule="auto"/>
        <w:jc w:val="both"/>
        <w:rPr>
          <w:sz w:val="32"/>
          <w:szCs w:val="32"/>
          <w:rtl/>
        </w:rPr>
      </w:pPr>
    </w:p>
    <w:p w:rsidR="000B6D70" w:rsidRPr="00353A9F" w:rsidRDefault="002E71C6" w:rsidP="00353A9F">
      <w:pPr>
        <w:numPr>
          <w:ilvl w:val="0"/>
          <w:numId w:val="1"/>
        </w:numPr>
        <w:spacing w:line="360" w:lineRule="auto"/>
        <w:jc w:val="both"/>
        <w:rPr>
          <w:b/>
          <w:bCs/>
          <w:sz w:val="32"/>
          <w:szCs w:val="32"/>
        </w:rPr>
      </w:pPr>
      <w:r w:rsidRPr="00353A9F">
        <w:rPr>
          <w:rFonts w:hint="cs"/>
          <w:b/>
          <w:bCs/>
          <w:sz w:val="32"/>
          <w:szCs w:val="32"/>
          <w:rtl/>
        </w:rPr>
        <w:t xml:space="preserve">מהי דעת </w:t>
      </w:r>
      <w:r w:rsidRPr="00353A9F">
        <w:rPr>
          <w:rFonts w:hint="cs"/>
          <w:b/>
          <w:bCs/>
          <w:sz w:val="32"/>
          <w:szCs w:val="32"/>
          <w:rtl/>
        </w:rPr>
        <w:t xml:space="preserve">היחיד של השופט </w:t>
      </w:r>
      <w:proofErr w:type="spellStart"/>
      <w:r w:rsidRPr="00353A9F">
        <w:rPr>
          <w:rFonts w:hint="cs"/>
          <w:b/>
          <w:bCs/>
          <w:sz w:val="32"/>
          <w:szCs w:val="32"/>
          <w:rtl/>
        </w:rPr>
        <w:t>סולברג</w:t>
      </w:r>
      <w:proofErr w:type="spellEnd"/>
      <w:r w:rsidRPr="00353A9F">
        <w:rPr>
          <w:rFonts w:hint="cs"/>
          <w:b/>
          <w:bCs/>
          <w:sz w:val="32"/>
          <w:szCs w:val="32"/>
          <w:rtl/>
        </w:rPr>
        <w:t>?</w:t>
      </w:r>
    </w:p>
    <w:p w:rsidR="00F86741" w:rsidRPr="00F86741" w:rsidRDefault="00F206DD" w:rsidP="00F35509">
      <w:pPr>
        <w:spacing w:line="360" w:lineRule="auto"/>
        <w:ind w:firstLine="360"/>
        <w:jc w:val="both"/>
        <w:rPr>
          <w:sz w:val="32"/>
          <w:szCs w:val="32"/>
          <w:rtl/>
        </w:rPr>
      </w:pPr>
      <w:r w:rsidRPr="005F554B">
        <w:rPr>
          <w:sz w:val="32"/>
          <w:szCs w:val="32"/>
          <w:rtl/>
        </w:rPr>
        <w:t xml:space="preserve">השופט </w:t>
      </w:r>
      <w:proofErr w:type="spellStart"/>
      <w:r w:rsidRPr="005F554B">
        <w:rPr>
          <w:sz w:val="32"/>
          <w:szCs w:val="32"/>
          <w:rtl/>
        </w:rPr>
        <w:t>סולברג</w:t>
      </w:r>
      <w:proofErr w:type="spellEnd"/>
      <w:r w:rsidRPr="005F554B">
        <w:rPr>
          <w:sz w:val="32"/>
          <w:szCs w:val="32"/>
          <w:rtl/>
        </w:rPr>
        <w:t xml:space="preserve"> סבור, כי מסקנתה המשפטית של הנשיאה, בהסתמך על ההלכה הפסוקה, היא נכונה.</w:t>
      </w:r>
      <w:r w:rsidRPr="005F554B">
        <w:rPr>
          <w:rFonts w:hint="cs"/>
          <w:sz w:val="32"/>
          <w:szCs w:val="32"/>
          <w:rtl/>
        </w:rPr>
        <w:t xml:space="preserve"> </w:t>
      </w:r>
      <w:r w:rsidRPr="005F554B">
        <w:rPr>
          <w:sz w:val="32"/>
          <w:szCs w:val="32"/>
          <w:rtl/>
        </w:rPr>
        <w:t xml:space="preserve">ואולם, המחוקק יכול ורשאי גם אחרת, להסדיר בחקיקה גיור ממלכתי, ברוח בית הלל, בהתאם להשקפה </w:t>
      </w:r>
      <w:proofErr w:type="spellStart"/>
      <w:r w:rsidRPr="005F554B">
        <w:rPr>
          <w:sz w:val="32"/>
          <w:szCs w:val="32"/>
          <w:rtl/>
        </w:rPr>
        <w:t>שהיתה</w:t>
      </w:r>
      <w:proofErr w:type="spellEnd"/>
      <w:r w:rsidRPr="005F554B">
        <w:rPr>
          <w:sz w:val="32"/>
          <w:szCs w:val="32"/>
          <w:rtl/>
        </w:rPr>
        <w:t xml:space="preserve"> רווחת במשך עשרות שנים. כך ימַנע סטאטוס מפוצל ובעייתי, שבמרשם האוכלוסין יכול </w:t>
      </w:r>
      <w:proofErr w:type="spellStart"/>
      <w:r w:rsidRPr="005F554B">
        <w:rPr>
          <w:sz w:val="32"/>
          <w:szCs w:val="32"/>
          <w:rtl/>
        </w:rPr>
        <w:t>להרשם</w:t>
      </w:r>
      <w:proofErr w:type="spellEnd"/>
      <w:r w:rsidRPr="005F554B">
        <w:rPr>
          <w:sz w:val="32"/>
          <w:szCs w:val="32"/>
          <w:rtl/>
        </w:rPr>
        <w:t xml:space="preserve"> מי שנתגייר כיהודי, גם לגבי חוק השבות יוכר כיהודי; אך לא יוכל להתחתן או להתגרש כיהודי.</w:t>
      </w:r>
      <w:r w:rsidRPr="005F554B">
        <w:rPr>
          <w:rFonts w:hint="cs"/>
          <w:sz w:val="32"/>
          <w:szCs w:val="32"/>
          <w:rtl/>
        </w:rPr>
        <w:t xml:space="preserve"> </w:t>
      </w:r>
      <w:r w:rsidRPr="005F554B">
        <w:rPr>
          <w:sz w:val="32"/>
          <w:szCs w:val="32"/>
          <w:rtl/>
        </w:rPr>
        <w:t>ניתן להתבסס על המלצות ועדת נאמן, דוח נסים, או מתווה אחר, ומכל מקום המציאות ב'שטח' וחשיבות הנושא, מחייבים הסדר חקיקתי.</w:t>
      </w:r>
      <w:r w:rsidR="005F554B" w:rsidRPr="005F554B">
        <w:rPr>
          <w:rFonts w:hint="cs"/>
          <w:sz w:val="32"/>
          <w:szCs w:val="32"/>
          <w:rtl/>
        </w:rPr>
        <w:t xml:space="preserve"> </w:t>
      </w:r>
    </w:p>
    <w:p w:rsidR="00F206DD" w:rsidRPr="00F206DD" w:rsidRDefault="00F206DD" w:rsidP="00F206DD">
      <w:pPr>
        <w:spacing w:line="360" w:lineRule="auto"/>
        <w:ind w:firstLine="360"/>
        <w:jc w:val="both"/>
        <w:rPr>
          <w:color w:val="FF0000"/>
          <w:sz w:val="32"/>
          <w:szCs w:val="32"/>
          <w:rtl/>
        </w:rPr>
      </w:pPr>
    </w:p>
    <w:sectPr w:rsidR="00F206DD" w:rsidRPr="00F206DD" w:rsidSect="0060346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Arial TUR"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E07928"/>
    <w:multiLevelType w:val="hybridMultilevel"/>
    <w:tmpl w:val="1A382E64"/>
    <w:lvl w:ilvl="0" w:tplc="A5C4DA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E2EB9D6" w:tentative="1">
      <w:start w:val="1"/>
      <w:numFmt w:val="lowerLetter"/>
      <w:lvlText w:val="%2."/>
      <w:lvlJc w:val="left"/>
      <w:pPr>
        <w:ind w:left="1440" w:hanging="360"/>
      </w:pPr>
    </w:lvl>
    <w:lvl w:ilvl="2" w:tplc="0088C52E" w:tentative="1">
      <w:start w:val="1"/>
      <w:numFmt w:val="lowerRoman"/>
      <w:lvlText w:val="%3."/>
      <w:lvlJc w:val="right"/>
      <w:pPr>
        <w:ind w:left="2160" w:hanging="180"/>
      </w:pPr>
    </w:lvl>
    <w:lvl w:ilvl="3" w:tplc="121AC3B4" w:tentative="1">
      <w:start w:val="1"/>
      <w:numFmt w:val="decimal"/>
      <w:lvlText w:val="%4."/>
      <w:lvlJc w:val="left"/>
      <w:pPr>
        <w:ind w:left="2880" w:hanging="360"/>
      </w:pPr>
    </w:lvl>
    <w:lvl w:ilvl="4" w:tplc="72940E44" w:tentative="1">
      <w:start w:val="1"/>
      <w:numFmt w:val="lowerLetter"/>
      <w:lvlText w:val="%5."/>
      <w:lvlJc w:val="left"/>
      <w:pPr>
        <w:ind w:left="3600" w:hanging="360"/>
      </w:pPr>
    </w:lvl>
    <w:lvl w:ilvl="5" w:tplc="AE3479E6" w:tentative="1">
      <w:start w:val="1"/>
      <w:numFmt w:val="lowerRoman"/>
      <w:lvlText w:val="%6."/>
      <w:lvlJc w:val="right"/>
      <w:pPr>
        <w:ind w:left="4320" w:hanging="180"/>
      </w:pPr>
    </w:lvl>
    <w:lvl w:ilvl="6" w:tplc="F076A9B0" w:tentative="1">
      <w:start w:val="1"/>
      <w:numFmt w:val="decimal"/>
      <w:lvlText w:val="%7."/>
      <w:lvlJc w:val="left"/>
      <w:pPr>
        <w:ind w:left="5040" w:hanging="360"/>
      </w:pPr>
    </w:lvl>
    <w:lvl w:ilvl="7" w:tplc="577A51F2" w:tentative="1">
      <w:start w:val="1"/>
      <w:numFmt w:val="lowerLetter"/>
      <w:lvlText w:val="%8."/>
      <w:lvlJc w:val="left"/>
      <w:pPr>
        <w:ind w:left="5760" w:hanging="360"/>
      </w:pPr>
    </w:lvl>
    <w:lvl w:ilvl="8" w:tplc="3C8888F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A4"/>
    <w:rsid w:val="00030BBC"/>
    <w:rsid w:val="00047C6A"/>
    <w:rsid w:val="000B6D70"/>
    <w:rsid w:val="000B7FAC"/>
    <w:rsid w:val="000F0807"/>
    <w:rsid w:val="00135C34"/>
    <w:rsid w:val="001709F4"/>
    <w:rsid w:val="001735AD"/>
    <w:rsid w:val="00175AEB"/>
    <w:rsid w:val="001B2C48"/>
    <w:rsid w:val="00294C33"/>
    <w:rsid w:val="002E71C6"/>
    <w:rsid w:val="00315C06"/>
    <w:rsid w:val="00350CE5"/>
    <w:rsid w:val="00353A9F"/>
    <w:rsid w:val="00487DA5"/>
    <w:rsid w:val="004F0A96"/>
    <w:rsid w:val="005C05AE"/>
    <w:rsid w:val="005F554B"/>
    <w:rsid w:val="00603463"/>
    <w:rsid w:val="0066578B"/>
    <w:rsid w:val="006F24F0"/>
    <w:rsid w:val="007200F5"/>
    <w:rsid w:val="007271F6"/>
    <w:rsid w:val="00733177"/>
    <w:rsid w:val="00752574"/>
    <w:rsid w:val="007D6144"/>
    <w:rsid w:val="007E0D1C"/>
    <w:rsid w:val="007F1DBB"/>
    <w:rsid w:val="00830648"/>
    <w:rsid w:val="008370A4"/>
    <w:rsid w:val="008370AA"/>
    <w:rsid w:val="00877D35"/>
    <w:rsid w:val="008E1E77"/>
    <w:rsid w:val="009530CF"/>
    <w:rsid w:val="00972B8E"/>
    <w:rsid w:val="00A9344E"/>
    <w:rsid w:val="00AA58E9"/>
    <w:rsid w:val="00AD297D"/>
    <w:rsid w:val="00AF5AD2"/>
    <w:rsid w:val="00B77F2B"/>
    <w:rsid w:val="00BA053F"/>
    <w:rsid w:val="00C01E75"/>
    <w:rsid w:val="00C02FDF"/>
    <w:rsid w:val="00CA2C14"/>
    <w:rsid w:val="00CB3DE9"/>
    <w:rsid w:val="00CD0B37"/>
    <w:rsid w:val="00D14BF1"/>
    <w:rsid w:val="00D44EAA"/>
    <w:rsid w:val="00D6163F"/>
    <w:rsid w:val="00DA753B"/>
    <w:rsid w:val="00DC3FB5"/>
    <w:rsid w:val="00DD54FB"/>
    <w:rsid w:val="00DF444B"/>
    <w:rsid w:val="00E169B7"/>
    <w:rsid w:val="00E2230D"/>
    <w:rsid w:val="00E34BCD"/>
    <w:rsid w:val="00EA6EA5"/>
    <w:rsid w:val="00ED7100"/>
    <w:rsid w:val="00F206DD"/>
    <w:rsid w:val="00F35509"/>
    <w:rsid w:val="00F47122"/>
    <w:rsid w:val="00F51596"/>
    <w:rsid w:val="00F565AB"/>
    <w:rsid w:val="00F8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05485A0-D565-4E30-828E-A2E315C6C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FrankRueh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  <w:spacing w:after="160" w:line="259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Ruller">
    <w:name w:val="Body Ruller"/>
    <w:basedOn w:val="a"/>
    <w:rsid w:val="00DD54FB"/>
    <w:pPr>
      <w:overflowPunct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2"/>
    </w:rPr>
  </w:style>
  <w:style w:type="character" w:customStyle="1" w:styleId="Ruller4">
    <w:name w:val="Ruller4 תו"/>
    <w:link w:val="Ruller40"/>
    <w:rsid w:val="00AA58E9"/>
    <w:rPr>
      <w:rFonts w:ascii="Arial TUR" w:hAnsi="Arial TUR" w:cs="Arial TUR"/>
      <w:spacing w:val="10"/>
    </w:rPr>
  </w:style>
  <w:style w:type="paragraph" w:customStyle="1" w:styleId="Ruller40">
    <w:name w:val="Ruller4"/>
    <w:basedOn w:val="a"/>
    <w:link w:val="Ruller4"/>
    <w:qFormat/>
    <w:rsid w:val="00AA58E9"/>
    <w:pPr>
      <w:overflowPunct w:val="0"/>
      <w:autoSpaceDE w:val="0"/>
      <w:autoSpaceDN w:val="0"/>
      <w:spacing w:after="0" w:line="360" w:lineRule="auto"/>
      <w:jc w:val="both"/>
    </w:pPr>
    <w:rPr>
      <w:rFonts w:ascii="Arial TUR" w:hAnsi="Arial TUR" w:cs="Arial TUR"/>
      <w:spacing w:val="10"/>
      <w:sz w:val="20"/>
      <w:szCs w:val="20"/>
    </w:rPr>
  </w:style>
  <w:style w:type="character" w:styleId="Hyperlink">
    <w:name w:val="Hyperlink"/>
    <w:uiPriority w:val="99"/>
    <w:unhideWhenUsed/>
    <w:rsid w:val="00CD0B37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135C34"/>
    <w:rPr>
      <w:color w:val="954F72"/>
      <w:u w:val="single"/>
    </w:rPr>
  </w:style>
  <w:style w:type="table" w:styleId="a3">
    <w:name w:val="Table Grid"/>
    <w:basedOn w:val="a1"/>
    <w:uiPriority w:val="39"/>
    <w:rsid w:val="00135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44EAA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D44EAA"/>
    <w:rPr>
      <w:sz w:val="22"/>
      <w:szCs w:val="28"/>
    </w:rPr>
  </w:style>
  <w:style w:type="paragraph" w:styleId="a6">
    <w:name w:val="footer"/>
    <w:basedOn w:val="a"/>
    <w:link w:val="a7"/>
    <w:uiPriority w:val="99"/>
    <w:unhideWhenUsed/>
    <w:rsid w:val="00D44EAA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uiPriority w:val="99"/>
    <w:rsid w:val="00D44EAA"/>
    <w:rPr>
      <w:sz w:val="22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353A9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9">
    <w:name w:val="טקסט בלונים תו"/>
    <w:link w:val="a8"/>
    <w:uiPriority w:val="99"/>
    <w:semiHidden/>
    <w:rsid w:val="00353A9F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A0D4D-C2B7-4A08-98A0-284CF5AF7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585</Words>
  <Characters>2925</Characters>
  <Application>Microsoft Office Word</Application>
  <DocSecurity>4</DocSecurity>
  <Lines>24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שירלי קורן</dc:creator>
  <cp:lastModifiedBy>Court</cp:lastModifiedBy>
  <cp:revision>2</cp:revision>
  <dcterms:created xsi:type="dcterms:W3CDTF">2021-03-01T15:46:00Z</dcterms:created>
  <dcterms:modified xsi:type="dcterms:W3CDTF">2021-03-01T15:46:00Z</dcterms:modified>
</cp:coreProperties>
</file>