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.xml" ContentType="application/vnd.ms-word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FF8" w:rsidRPr="00377102" w:rsidRDefault="00916FF8">
      <w:pPr>
        <w:jc w:val="right"/>
        <w:rPr>
          <w:rFonts w:cs="Miriam"/>
          <w:b/>
          <w:bCs/>
          <w:sz w:val="16"/>
          <w:szCs w:val="16"/>
          <w:u w:val="single"/>
        </w:rPr>
      </w:pPr>
    </w:p>
    <w:tbl>
      <w:tblPr>
        <w:bidiVisual/>
        <w:tblW w:w="8372" w:type="dxa"/>
        <w:tblLook w:val="0000" w:firstRow="0" w:lastRow="0" w:firstColumn="0" w:lastColumn="0" w:noHBand="0" w:noVBand="0"/>
      </w:tblPr>
      <w:tblGrid>
        <w:gridCol w:w="9"/>
        <w:gridCol w:w="8354"/>
        <w:gridCol w:w="9"/>
      </w:tblGrid>
      <w:tr w:rsidR="00036227" w:rsidTr="00261946">
        <w:trPr>
          <w:gridBefore w:val="1"/>
          <w:wBefore w:w="9" w:type="dxa"/>
        </w:trPr>
        <w:tc>
          <w:tcPr>
            <w:tcW w:w="8363" w:type="dxa"/>
            <w:gridSpan w:val="2"/>
          </w:tcPr>
          <w:p w:rsidR="00916FF8" w:rsidRPr="00624A42" w:rsidRDefault="0096165E" w:rsidP="004C7868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 בשבתו כבית משפט גבוה לצדק</w:t>
            </w:r>
          </w:p>
        </w:tc>
      </w:tr>
      <w:tr w:rsidR="00036227" w:rsidTr="00261946">
        <w:trPr>
          <w:gridAfter w:val="1"/>
          <w:wAfter w:w="9" w:type="dxa"/>
          <w:trHeight w:val="342"/>
        </w:trPr>
        <w:tc>
          <w:tcPr>
            <w:tcW w:w="8363" w:type="dxa"/>
            <w:gridSpan w:val="2"/>
          </w:tcPr>
          <w:p w:rsidR="00916FF8" w:rsidRPr="00810894" w:rsidRDefault="0096165E">
            <w:pPr>
              <w:pStyle w:val="FileNumber"/>
              <w:rPr>
                <w:sz w:val="28"/>
                <w:szCs w:val="28"/>
              </w:rPr>
            </w:pPr>
            <w:bookmarkStart w:id="0" w:name="casename_body"/>
            <w:r>
              <w:rPr>
                <w:sz w:val="28"/>
                <w:szCs w:val="28"/>
                <w:rtl/>
              </w:rPr>
              <w:t>בג"ץ  3056/20</w:t>
            </w:r>
          </w:p>
        </w:tc>
      </w:tr>
      <w:tr w:rsidR="0096165E" w:rsidTr="00261946">
        <w:trPr>
          <w:gridAfter w:val="1"/>
          <w:wAfter w:w="9" w:type="dxa"/>
          <w:trHeight w:val="342"/>
        </w:trPr>
        <w:tc>
          <w:tcPr>
            <w:tcW w:w="8363" w:type="dxa"/>
            <w:gridSpan w:val="2"/>
          </w:tcPr>
          <w:p w:rsidR="0096165E" w:rsidRPr="00810894" w:rsidRDefault="0096165E">
            <w:pPr>
              <w:pStyle w:val="FileNumb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בג"ץ  5920/20</w:t>
            </w:r>
          </w:p>
        </w:tc>
      </w:tr>
      <w:bookmarkEnd w:id="0"/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220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2981"/>
        <w:gridCol w:w="5239"/>
      </w:tblGrid>
      <w:tr w:rsidR="00FD0BE7" w:rsidRPr="00FD0BE7" w:rsidTr="00FD0BE7">
        <w:trPr>
          <w:trHeight w:val="287"/>
        </w:trPr>
        <w:tc>
          <w:tcPr>
            <w:tcW w:w="2981" w:type="dxa"/>
            <w:hideMark/>
          </w:tcPr>
          <w:p w:rsidR="00FD0BE7" w:rsidRPr="00FD0BE7" w:rsidRDefault="00FD0BE7" w:rsidP="00FD0BE7">
            <w:pPr>
              <w:textAlignment w:val="auto"/>
              <w:rPr>
                <w:rFonts w:cs="Miriam"/>
                <w:b/>
                <w:bCs/>
                <w:sz w:val="22"/>
                <w:szCs w:val="28"/>
                <w:u w:val="single"/>
              </w:rPr>
            </w:pPr>
            <w:r w:rsidRPr="00FD0BE7">
              <w:rPr>
                <w:sz w:val="22"/>
                <w:szCs w:val="28"/>
                <w:rtl/>
              </w:rPr>
              <w:t>לפני:</w:t>
            </w:r>
            <w:r w:rsidRPr="00FD0BE7">
              <w:rPr>
                <w:sz w:val="22"/>
                <w:szCs w:val="28"/>
                <w:rtl/>
              </w:rPr>
              <w:tab/>
            </w:r>
          </w:p>
        </w:tc>
        <w:tc>
          <w:tcPr>
            <w:tcW w:w="5239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כבוד הנשיאה א' חיות</w:t>
            </w:r>
          </w:p>
        </w:tc>
      </w:tr>
      <w:tr w:rsidR="00FD0BE7" w:rsidRPr="00FD0BE7" w:rsidTr="00FD0BE7">
        <w:trPr>
          <w:trHeight w:val="287"/>
        </w:trPr>
        <w:tc>
          <w:tcPr>
            <w:tcW w:w="2981" w:type="dxa"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</w:p>
        </w:tc>
        <w:tc>
          <w:tcPr>
            <w:tcW w:w="5239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כבוד המשנה לנשיאה ח' מלצר</w:t>
            </w:r>
          </w:p>
        </w:tc>
      </w:tr>
      <w:tr w:rsidR="00FD0BE7" w:rsidRPr="00FD0BE7" w:rsidTr="00FD0BE7">
        <w:trPr>
          <w:trHeight w:val="287"/>
        </w:trPr>
        <w:tc>
          <w:tcPr>
            <w:tcW w:w="2981" w:type="dxa"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239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כבוד השופט נ' הנדל</w:t>
            </w:r>
          </w:p>
        </w:tc>
      </w:tr>
    </w:tbl>
    <w:p w:rsidR="00FD0BE7" w:rsidRPr="00FD0BE7" w:rsidRDefault="00FD0BE7" w:rsidP="00FD0BE7">
      <w:pPr>
        <w:tabs>
          <w:tab w:val="left" w:pos="3210"/>
          <w:tab w:val="left" w:pos="6753"/>
        </w:tabs>
        <w:spacing w:line="360" w:lineRule="auto"/>
        <w:textAlignment w:val="auto"/>
        <w:rPr>
          <w:rFonts w:cs="Miriam"/>
          <w:b/>
          <w:bCs/>
          <w:spacing w:val="10"/>
          <w:sz w:val="22"/>
          <w:szCs w:val="28"/>
          <w:u w:val="single"/>
          <w:rtl/>
        </w:rPr>
      </w:pPr>
    </w:p>
    <w:p w:rsidR="00FD0BE7" w:rsidRPr="00FD0BE7" w:rsidRDefault="00FD0BE7" w:rsidP="00FD0BE7">
      <w:pPr>
        <w:jc w:val="right"/>
        <w:textAlignment w:val="auto"/>
        <w:rPr>
          <w:b/>
          <w:bCs/>
          <w:sz w:val="26"/>
          <w:szCs w:val="26"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FD0BE7" w:rsidRPr="00FD0BE7" w:rsidTr="00FD0BE7">
        <w:tc>
          <w:tcPr>
            <w:tcW w:w="3210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העותרת בבג"ץ 3056/20:</w:t>
            </w: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התנועה למען איכות השלטון בישראל</w:t>
            </w:r>
          </w:p>
        </w:tc>
      </w:tr>
    </w:tbl>
    <w:p w:rsidR="00FD0BE7" w:rsidRPr="00FD0BE7" w:rsidRDefault="00FD0BE7" w:rsidP="00FD0BE7">
      <w:pPr>
        <w:textAlignment w:val="auto"/>
        <w:rPr>
          <w:sz w:val="22"/>
          <w:szCs w:val="28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FD0BE7" w:rsidRPr="00FD0BE7" w:rsidTr="00FD0BE7">
        <w:tc>
          <w:tcPr>
            <w:tcW w:w="3210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העותרים בבג"ץ 5920/20:</w:t>
            </w: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יורם יעקובי ו-68 אח'</w:t>
            </w:r>
          </w:p>
        </w:tc>
      </w:tr>
    </w:tbl>
    <w:p w:rsidR="00FD0BE7" w:rsidRPr="00FD0BE7" w:rsidRDefault="00FD0BE7" w:rsidP="00FD0BE7">
      <w:pPr>
        <w:textAlignment w:val="auto"/>
        <w:rPr>
          <w:sz w:val="22"/>
          <w:szCs w:val="28"/>
        </w:rPr>
      </w:pPr>
      <w:r w:rsidRPr="00FD0BE7">
        <w:rPr>
          <w:sz w:val="22"/>
          <w:szCs w:val="28"/>
        </w:rPr>
        <w:t xml:space="preserve"> </w:t>
      </w:r>
      <w:r w:rsidRPr="00FD0BE7">
        <w:rPr>
          <w:sz w:val="22"/>
          <w:szCs w:val="28"/>
        </w:rPr>
        <w:tab/>
        <w:t xml:space="preserve">        </w:t>
      </w:r>
      <w:r w:rsidRPr="00FD0BE7">
        <w:rPr>
          <w:sz w:val="22"/>
          <w:szCs w:val="28"/>
        </w:rPr>
        <w:tab/>
        <w:t xml:space="preserve">   </w:t>
      </w:r>
      <w:r w:rsidRPr="00FD0BE7">
        <w:rPr>
          <w:sz w:val="22"/>
          <w:szCs w:val="28"/>
        </w:rPr>
        <w:tab/>
      </w:r>
      <w:r w:rsidRPr="00FD0BE7">
        <w:rPr>
          <w:sz w:val="22"/>
          <w:szCs w:val="28"/>
        </w:rPr>
        <w:tab/>
      </w:r>
      <w:r w:rsidRPr="00FD0BE7">
        <w:rPr>
          <w:sz w:val="22"/>
          <w:szCs w:val="28"/>
        </w:rPr>
        <w:tab/>
      </w:r>
      <w:r w:rsidRPr="00FD0BE7">
        <w:rPr>
          <w:sz w:val="22"/>
          <w:szCs w:val="28"/>
        </w:rPr>
        <w:tab/>
      </w:r>
    </w:p>
    <w:p w:rsidR="00FD0BE7" w:rsidRPr="00FD0BE7" w:rsidRDefault="00FD0BE7" w:rsidP="00FD0BE7">
      <w:pPr>
        <w:ind w:left="3600" w:firstLine="720"/>
        <w:textAlignment w:val="auto"/>
        <w:rPr>
          <w:sz w:val="22"/>
          <w:szCs w:val="28"/>
        </w:rPr>
      </w:pPr>
      <w:r w:rsidRPr="00FD0BE7">
        <w:rPr>
          <w:sz w:val="22"/>
          <w:szCs w:val="28"/>
        </w:rPr>
        <w:t xml:space="preserve">   </w:t>
      </w:r>
      <w:r w:rsidRPr="00FD0BE7">
        <w:rPr>
          <w:sz w:val="22"/>
          <w:szCs w:val="28"/>
          <w:rtl/>
        </w:rPr>
        <w:t>נ</w:t>
      </w:r>
      <w:r w:rsidRPr="00FD0BE7">
        <w:rPr>
          <w:sz w:val="22"/>
          <w:szCs w:val="28"/>
        </w:rPr>
        <w:t xml:space="preserve">  </w:t>
      </w:r>
      <w:r w:rsidRPr="00FD0BE7">
        <w:rPr>
          <w:sz w:val="22"/>
          <w:szCs w:val="28"/>
          <w:rtl/>
        </w:rPr>
        <w:t>ג</w:t>
      </w:r>
      <w:r w:rsidRPr="00FD0BE7">
        <w:rPr>
          <w:sz w:val="22"/>
          <w:szCs w:val="28"/>
        </w:rPr>
        <w:t xml:space="preserve">  </w:t>
      </w:r>
      <w:r w:rsidRPr="00FD0BE7">
        <w:rPr>
          <w:sz w:val="22"/>
          <w:szCs w:val="28"/>
          <w:rtl/>
        </w:rPr>
        <w:t>ד</w:t>
      </w:r>
    </w:p>
    <w:p w:rsidR="00FD0BE7" w:rsidRPr="00FD0BE7" w:rsidRDefault="00FD0BE7" w:rsidP="00FD0BE7">
      <w:pPr>
        <w:textAlignment w:val="auto"/>
        <w:rPr>
          <w:sz w:val="22"/>
          <w:szCs w:val="28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FD0BE7" w:rsidRPr="00FD0BE7" w:rsidTr="00FD0BE7">
        <w:tc>
          <w:tcPr>
            <w:tcW w:w="3210" w:type="dxa"/>
            <w:vMerge w:val="restart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המשיבים בבג"ץ 3056/20:</w:t>
            </w: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1. היועץ המשפטי לממשלה</w:t>
            </w:r>
          </w:p>
        </w:tc>
      </w:tr>
      <w:tr w:rsidR="00FD0BE7" w:rsidRPr="00FD0BE7" w:rsidTr="00FD0BE7">
        <w:tc>
          <w:tcPr>
            <w:tcW w:w="0" w:type="auto"/>
            <w:vMerge/>
            <w:vAlign w:val="center"/>
            <w:hideMark/>
          </w:tcPr>
          <w:p w:rsidR="00FD0BE7" w:rsidRPr="00FD0BE7" w:rsidRDefault="00FD0BE7" w:rsidP="00FD0B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8"/>
              </w:rPr>
            </w:pP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2. ראש הממשלה</w:t>
            </w:r>
          </w:p>
        </w:tc>
      </w:tr>
      <w:tr w:rsidR="00FD0BE7" w:rsidRPr="00FD0BE7" w:rsidTr="00FD0BE7">
        <w:tc>
          <w:tcPr>
            <w:tcW w:w="3210" w:type="dxa"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102" w:type="dxa"/>
            <w:hideMark/>
          </w:tcPr>
          <w:p w:rsidR="00FD0BE7" w:rsidRPr="00FD0BE7" w:rsidRDefault="00C03D84" w:rsidP="00FD0BE7">
            <w:pPr>
              <w:textAlignment w:val="auto"/>
              <w:rPr>
                <w:sz w:val="22"/>
                <w:szCs w:val="28"/>
                <w:rtl/>
              </w:rPr>
            </w:pPr>
            <w:r>
              <w:rPr>
                <w:rFonts w:hint="cs"/>
                <w:sz w:val="22"/>
                <w:szCs w:val="28"/>
                <w:rtl/>
              </w:rPr>
              <w:t>3</w:t>
            </w:r>
            <w:r w:rsidR="00FD0BE7" w:rsidRPr="00FD0BE7">
              <w:rPr>
                <w:sz w:val="22"/>
                <w:szCs w:val="28"/>
                <w:rtl/>
              </w:rPr>
              <w:t>. השר לביטחון פנים</w:t>
            </w:r>
          </w:p>
        </w:tc>
      </w:tr>
    </w:tbl>
    <w:p w:rsidR="00FD0BE7" w:rsidRPr="00FD0BE7" w:rsidRDefault="00FD0BE7" w:rsidP="00FD0BE7">
      <w:pPr>
        <w:textAlignment w:val="auto"/>
        <w:rPr>
          <w:sz w:val="22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FD0BE7" w:rsidRPr="00FD0BE7" w:rsidTr="00FD0BE7">
        <w:tc>
          <w:tcPr>
            <w:tcW w:w="3210" w:type="dxa"/>
            <w:vMerge w:val="restart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המשיבים בבג"ץ 5920/20:</w:t>
            </w: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1. היועץ המשפטי לממשלה</w:t>
            </w:r>
          </w:p>
        </w:tc>
      </w:tr>
      <w:tr w:rsidR="00FD0BE7" w:rsidRPr="00FD0BE7" w:rsidTr="00FD0BE7">
        <w:tc>
          <w:tcPr>
            <w:tcW w:w="0" w:type="auto"/>
            <w:vMerge/>
            <w:vAlign w:val="center"/>
            <w:hideMark/>
          </w:tcPr>
          <w:p w:rsidR="00FD0BE7" w:rsidRPr="00FD0BE7" w:rsidRDefault="00FD0BE7" w:rsidP="00FD0B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8"/>
              </w:rPr>
            </w:pP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2. ראש הממשלה</w:t>
            </w:r>
          </w:p>
        </w:tc>
      </w:tr>
      <w:tr w:rsidR="00FD0BE7" w:rsidRPr="00FD0BE7" w:rsidTr="00FD0BE7">
        <w:tc>
          <w:tcPr>
            <w:tcW w:w="3210" w:type="dxa"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3. שר הביטחון וראש הממשלה החליפי</w:t>
            </w:r>
          </w:p>
        </w:tc>
      </w:tr>
      <w:tr w:rsidR="00FD0BE7" w:rsidRPr="00FD0BE7" w:rsidTr="00FD0BE7">
        <w:tc>
          <w:tcPr>
            <w:tcW w:w="3210" w:type="dxa"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102" w:type="dxa"/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4. השר לביטחון הפנים</w:t>
            </w:r>
          </w:p>
        </w:tc>
      </w:tr>
    </w:tbl>
    <w:p w:rsidR="00FD0BE7" w:rsidRPr="00FD0BE7" w:rsidRDefault="00FD0BE7" w:rsidP="00FD0BE7">
      <w:pPr>
        <w:textAlignment w:val="auto"/>
        <w:rPr>
          <w:rtl/>
        </w:rPr>
      </w:pPr>
    </w:p>
    <w:p w:rsidR="00FD0BE7" w:rsidRPr="00FD0BE7" w:rsidRDefault="00FD0BE7" w:rsidP="00FD0BE7">
      <w:pPr>
        <w:textAlignment w:val="auto"/>
        <w:rPr>
          <w:rtl/>
        </w:rPr>
      </w:pPr>
    </w:p>
    <w:tbl>
      <w:tblPr>
        <w:bidiVisual/>
        <w:tblW w:w="8363" w:type="dxa"/>
        <w:tblLook w:val="04A0" w:firstRow="1" w:lastRow="0" w:firstColumn="1" w:lastColumn="0" w:noHBand="0" w:noVBand="1"/>
      </w:tblPr>
      <w:tblGrid>
        <w:gridCol w:w="27"/>
        <w:gridCol w:w="3186"/>
        <w:gridCol w:w="17"/>
        <w:gridCol w:w="2423"/>
        <w:gridCol w:w="2659"/>
        <w:gridCol w:w="51"/>
      </w:tblGrid>
      <w:tr w:rsidR="00FD0BE7" w:rsidRPr="00FD0BE7" w:rsidTr="00C03D84">
        <w:trPr>
          <w:gridBefore w:val="1"/>
          <w:gridAfter w:val="1"/>
          <w:wBefore w:w="27" w:type="dxa"/>
          <w:wAfter w:w="51" w:type="dxa"/>
        </w:trPr>
        <w:tc>
          <w:tcPr>
            <w:tcW w:w="3186" w:type="dxa"/>
          </w:tcPr>
          <w:p w:rsidR="00FD0BE7" w:rsidRPr="00FD0BE7" w:rsidRDefault="00FD0BE7" w:rsidP="00FD0BE7">
            <w:pPr>
              <w:overflowPunct/>
              <w:textAlignment w:val="auto"/>
              <w:rPr>
                <w:sz w:val="26"/>
                <w:szCs w:val="26"/>
                <w:rtl/>
              </w:rPr>
            </w:pPr>
          </w:p>
        </w:tc>
        <w:tc>
          <w:tcPr>
            <w:tcW w:w="5099" w:type="dxa"/>
            <w:gridSpan w:val="3"/>
            <w:hideMark/>
          </w:tcPr>
          <w:p w:rsidR="00FD0BE7" w:rsidRPr="00C03D84" w:rsidRDefault="00FD0BE7" w:rsidP="00C03D84">
            <w:pPr>
              <w:overflowPunct/>
              <w:textAlignment w:val="auto"/>
              <w:rPr>
                <w:rFonts w:ascii="Century" w:hAnsi="Century" w:cs="Miriam"/>
                <w:b/>
                <w:sz w:val="22"/>
                <w:rtl/>
              </w:rPr>
            </w:pPr>
            <w:r w:rsidRPr="00C03D84">
              <w:rPr>
                <w:rFonts w:ascii="Century" w:hAnsi="Century" w:cs="Miriam"/>
                <w:b/>
                <w:sz w:val="22"/>
                <w:rtl/>
              </w:rPr>
              <w:t xml:space="preserve">עתירה למתן צו על תנאי </w:t>
            </w:r>
          </w:p>
          <w:p w:rsidR="00C03D84" w:rsidRPr="00FD0BE7" w:rsidRDefault="00C03D84" w:rsidP="00C03D84">
            <w:pPr>
              <w:overflowPunct/>
              <w:textAlignment w:val="auto"/>
              <w:rPr>
                <w:rFonts w:ascii="Miriam" w:hAnsi="Miriam" w:cs="Miriam"/>
                <w:sz w:val="26"/>
                <w:szCs w:val="26"/>
                <w:rtl/>
              </w:rPr>
            </w:pPr>
          </w:p>
        </w:tc>
      </w:tr>
      <w:tr w:rsidR="00C03D84" w:rsidTr="00C0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D84" w:rsidRPr="00265F6E" w:rsidRDefault="00C03D84" w:rsidP="00B51766">
            <w:pPr>
              <w:pStyle w:val="BodyRuller"/>
              <w:rPr>
                <w:sz w:val="24"/>
                <w:szCs w:val="24"/>
              </w:rPr>
            </w:pPr>
            <w:r w:rsidRPr="00265F6E">
              <w:rPr>
                <w:sz w:val="24"/>
                <w:szCs w:val="24"/>
                <w:rtl/>
              </w:rPr>
              <w:t>תאריך הישיבה: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C03D84" w:rsidRPr="0041294F" w:rsidRDefault="00C03D84" w:rsidP="00B51766">
            <w:pPr>
              <w:pStyle w:val="BodyRuller"/>
              <w:rPr>
                <w:rFonts w:ascii="David" w:hAnsi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</w:rPr>
              <w:t xml:space="preserve">כ"ה </w:t>
            </w:r>
            <w:r w:rsidRPr="0041294F">
              <w:rPr>
                <w:rFonts w:ascii="David" w:hAnsi="David"/>
                <w:sz w:val="24"/>
                <w:szCs w:val="24"/>
                <w:rtl/>
              </w:rPr>
              <w:t>בחשון התשפ"א</w:t>
            </w:r>
            <w:r w:rsidRPr="0041294F">
              <w:rPr>
                <w:rFonts w:ascii="David" w:hAnsi="David"/>
                <w:sz w:val="24"/>
                <w:szCs w:val="24"/>
              </w:rPr>
              <w:t xml:space="preserve"> 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D84" w:rsidRPr="0041294F" w:rsidRDefault="00C03D84" w:rsidP="00C03D84">
            <w:pPr>
              <w:pStyle w:val="BodyRuller"/>
              <w:rPr>
                <w:rFonts w:ascii="David" w:hAnsi="David"/>
                <w:sz w:val="24"/>
                <w:szCs w:val="24"/>
                <w:rtl/>
              </w:rPr>
            </w:pPr>
            <w:r w:rsidRPr="0041294F">
              <w:rPr>
                <w:rFonts w:ascii="David" w:hAnsi="David"/>
                <w:sz w:val="24"/>
                <w:szCs w:val="24"/>
              </w:rPr>
              <w:t>(</w:t>
            </w:r>
            <w:r>
              <w:rPr>
                <w:rFonts w:ascii="David" w:hAnsi="David"/>
                <w:sz w:val="24"/>
                <w:szCs w:val="24"/>
              </w:rPr>
              <w:t>12.11.2020</w:t>
            </w:r>
            <w:r w:rsidRPr="0041294F">
              <w:rPr>
                <w:rFonts w:ascii="David" w:hAnsi="David"/>
                <w:sz w:val="24"/>
                <w:szCs w:val="24"/>
              </w:rPr>
              <w:t xml:space="preserve">) </w:t>
            </w:r>
          </w:p>
        </w:tc>
      </w:tr>
    </w:tbl>
    <w:p w:rsidR="00FD0BE7" w:rsidRPr="00FD0BE7" w:rsidRDefault="00FD0BE7" w:rsidP="00FD0BE7">
      <w:pPr>
        <w:tabs>
          <w:tab w:val="left" w:pos="2552"/>
        </w:tabs>
        <w:textAlignment w:val="auto"/>
        <w:rPr>
          <w:sz w:val="26"/>
          <w:szCs w:val="26"/>
        </w:rPr>
      </w:pPr>
    </w:p>
    <w:tbl>
      <w:tblPr>
        <w:bidiVisual/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099"/>
      </w:tblGrid>
      <w:tr w:rsidR="00FD0BE7" w:rsidRPr="00FD0BE7" w:rsidTr="00FD0BE7">
        <w:trPr>
          <w:trHeight w:val="63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  <w:bookmarkStart w:id="1" w:name="lawyers_a_title"/>
            <w:r w:rsidRPr="00FD0BE7">
              <w:rPr>
                <w:sz w:val="22"/>
                <w:szCs w:val="28"/>
                <w:rtl/>
              </w:rPr>
              <w:t>בשם העותרת בבג"ץ 3056/20: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עו"ד אליעד שרגא; עו"ד תומר נאור; עו"ד הידי נגב</w:t>
            </w:r>
            <w:r w:rsidRPr="00FD0BE7">
              <w:rPr>
                <w:sz w:val="22"/>
                <w:szCs w:val="28"/>
                <w:rtl/>
              </w:rPr>
              <w:tab/>
            </w:r>
          </w:p>
        </w:tc>
      </w:tr>
      <w:bookmarkEnd w:id="1"/>
    </w:tbl>
    <w:p w:rsidR="00FD0BE7" w:rsidRPr="00FD0BE7" w:rsidRDefault="00FD0BE7" w:rsidP="00FD0BE7">
      <w:pPr>
        <w:textAlignment w:val="auto"/>
        <w:rPr>
          <w:sz w:val="22"/>
          <w:szCs w:val="28"/>
        </w:rPr>
      </w:pPr>
    </w:p>
    <w:tbl>
      <w:tblPr>
        <w:bidiVisual/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099"/>
      </w:tblGrid>
      <w:tr w:rsidR="00FD0BE7" w:rsidRPr="00FD0BE7" w:rsidTr="00FD0BE7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בשם העותרים בבג"ץ 5920/20: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עו"ד דפנה הולץ-לכנר; עו"ד אסף שילו</w:t>
            </w:r>
            <w:r w:rsidRPr="00FD0BE7">
              <w:rPr>
                <w:sz w:val="22"/>
                <w:szCs w:val="28"/>
                <w:rtl/>
              </w:rPr>
              <w:tab/>
            </w:r>
          </w:p>
        </w:tc>
      </w:tr>
    </w:tbl>
    <w:p w:rsidR="00FD0BE7" w:rsidRPr="00FD0BE7" w:rsidRDefault="00FD0BE7" w:rsidP="00FD0BE7">
      <w:pPr>
        <w:textAlignment w:val="auto"/>
        <w:rPr>
          <w:sz w:val="22"/>
          <w:szCs w:val="28"/>
        </w:rPr>
      </w:pPr>
    </w:p>
    <w:tbl>
      <w:tblPr>
        <w:bidiVisual/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099"/>
      </w:tblGrid>
      <w:tr w:rsidR="00FD0BE7" w:rsidRPr="00FD0BE7" w:rsidTr="00FD0BE7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BE7" w:rsidRPr="00FD0BE7" w:rsidRDefault="00FD0BE7" w:rsidP="000D0AF2">
            <w:pPr>
              <w:textAlignment w:val="auto"/>
              <w:rPr>
                <w:sz w:val="22"/>
                <w:szCs w:val="28"/>
                <w:rtl/>
              </w:rPr>
            </w:pPr>
            <w:bookmarkStart w:id="2" w:name="lawyers_b_title"/>
            <w:r w:rsidRPr="00FD0BE7">
              <w:rPr>
                <w:sz w:val="22"/>
                <w:szCs w:val="28"/>
                <w:rtl/>
              </w:rPr>
              <w:t>בשם המשיבים 1 ו-</w:t>
            </w:r>
            <w:r w:rsidR="000D0AF2">
              <w:rPr>
                <w:rFonts w:hint="cs"/>
                <w:sz w:val="22"/>
                <w:szCs w:val="28"/>
                <w:rtl/>
              </w:rPr>
              <w:t>3</w:t>
            </w:r>
            <w:r w:rsidRPr="00FD0BE7">
              <w:rPr>
                <w:sz w:val="22"/>
                <w:szCs w:val="28"/>
                <w:rtl/>
              </w:rPr>
              <w:t xml:space="preserve"> בבג"ץ 3056/20 ובשם המשיבים 1, 3 ו-4 בבג"ץ 5920/20: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עו"ד ליאורה וייס-בנסקי; עו"ד יונתן ברמן; עו"ד סיון דגן</w:t>
            </w:r>
            <w:r w:rsidRPr="00FD0BE7">
              <w:rPr>
                <w:sz w:val="22"/>
                <w:szCs w:val="28"/>
                <w:rtl/>
              </w:rPr>
              <w:tab/>
            </w:r>
          </w:p>
        </w:tc>
      </w:tr>
      <w:bookmarkEnd w:id="2"/>
    </w:tbl>
    <w:p w:rsidR="00FD0BE7" w:rsidRPr="00FD0BE7" w:rsidRDefault="00FD0BE7" w:rsidP="00FD0BE7">
      <w:pPr>
        <w:textAlignment w:val="auto"/>
        <w:rPr>
          <w:sz w:val="22"/>
          <w:szCs w:val="28"/>
        </w:rPr>
      </w:pPr>
    </w:p>
    <w:p w:rsidR="00FD0BE7" w:rsidRPr="00FD0BE7" w:rsidRDefault="00FD0BE7" w:rsidP="00FD0BE7">
      <w:pPr>
        <w:textAlignment w:val="auto"/>
        <w:rPr>
          <w:sz w:val="22"/>
          <w:szCs w:val="28"/>
          <w:rtl/>
        </w:rPr>
      </w:pPr>
    </w:p>
    <w:tbl>
      <w:tblPr>
        <w:bidiVisual/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099"/>
      </w:tblGrid>
      <w:tr w:rsidR="00FD0BE7" w:rsidRPr="00FD0BE7" w:rsidTr="00FD0BE7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בשם המשיב 2 בבג"ץ 3056/20 ובבג"ץ 5920/20: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</w:p>
          <w:p w:rsidR="00FD0BE7" w:rsidRPr="00FD0BE7" w:rsidRDefault="00FD0BE7" w:rsidP="00FD0BE7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עו"ד מיכאל ראבילו; עו"ד יוסי כהן; עו"ד רועי שכטר</w:t>
            </w:r>
            <w:r w:rsidRPr="00FD0BE7">
              <w:rPr>
                <w:sz w:val="22"/>
                <w:szCs w:val="28"/>
                <w:rtl/>
              </w:rPr>
              <w:tab/>
            </w:r>
          </w:p>
        </w:tc>
      </w:tr>
    </w:tbl>
    <w:p w:rsidR="00916FF8" w:rsidRDefault="00916FF8">
      <w:pPr>
        <w:tabs>
          <w:tab w:val="left" w:pos="2552"/>
        </w:tabs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D00B1D">
        <w:tc>
          <w:tcPr>
            <w:tcW w:w="9837" w:type="dxa"/>
          </w:tcPr>
          <w:p w:rsidR="00916FF8" w:rsidRDefault="0096165E">
            <w:pPr>
              <w:pStyle w:val="DocumentHead"/>
            </w:pPr>
            <w:bookmarkStart w:id="3" w:name="secretary"/>
            <w:bookmarkStart w:id="4" w:name="BeginProtocol"/>
            <w:bookmarkEnd w:id="3"/>
            <w:bookmarkEnd w:id="4"/>
            <w:r>
              <w:rPr>
                <w:rtl/>
              </w:rPr>
              <w:t>החלטה</w:t>
            </w:r>
          </w:p>
        </w:tc>
      </w:tr>
    </w:tbl>
    <w:p w:rsidR="0065522F" w:rsidRDefault="0065522F" w:rsidP="00DA621B">
      <w:pPr>
        <w:pStyle w:val="BODYVERDICT"/>
        <w:spacing w:line="360" w:lineRule="auto"/>
      </w:pPr>
    </w:p>
    <w:p w:rsidR="00C03D84" w:rsidRPr="00FD13E3" w:rsidRDefault="00C03D84" w:rsidP="000D0AF2">
      <w:pPr>
        <w:adjustRightInd/>
        <w:spacing w:after="240" w:line="360" w:lineRule="auto"/>
        <w:ind w:firstLine="720"/>
        <w:jc w:val="both"/>
        <w:textAlignment w:val="auto"/>
        <w:rPr>
          <w:rFonts w:ascii="Century" w:hAnsi="Century" w:cs="FrankRuehl"/>
          <w:spacing w:val="10"/>
          <w:sz w:val="22"/>
          <w:szCs w:val="28"/>
          <w:rtl/>
        </w:rPr>
      </w:pPr>
      <w:bookmarkStart w:id="5" w:name="Writer_Name"/>
      <w:bookmarkStart w:id="6" w:name="Start_Write"/>
      <w:bookmarkEnd w:id="5"/>
      <w:bookmarkEnd w:id="6"/>
      <w:r w:rsidRPr="00FD13E3">
        <w:rPr>
          <w:rFonts w:ascii="Century" w:hAnsi="Century" w:cs="FrankRuehl" w:hint="cs"/>
          <w:spacing w:val="10"/>
          <w:sz w:val="22"/>
          <w:szCs w:val="28"/>
          <w:shd w:val="clear" w:color="auto" w:fill="FFFFFF"/>
          <w:rtl/>
        </w:rPr>
        <w:t>ניתן בזאת צו על תנאי המופנה כלפי המשיבים ומורה להם לבוא וליתן טעם:</w:t>
      </w:r>
    </w:p>
    <w:p w:rsidR="00C03D84" w:rsidRDefault="00C03D84" w:rsidP="00672D0F">
      <w:pPr>
        <w:numPr>
          <w:ilvl w:val="0"/>
          <w:numId w:val="11"/>
        </w:numPr>
        <w:adjustRightInd/>
        <w:spacing w:after="240" w:line="360" w:lineRule="auto"/>
        <w:jc w:val="both"/>
        <w:textAlignment w:val="auto"/>
        <w:rPr>
          <w:rFonts w:ascii="Century" w:hAnsi="Century" w:cs="FrankRuehl"/>
          <w:spacing w:val="10"/>
          <w:sz w:val="22"/>
          <w:szCs w:val="28"/>
        </w:rPr>
      </w:pP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מדוע לא ייקבע כי חוות הדעת שפרסם המשיב 1 ביום 2.11.2020 ואשר עניינה </w:t>
      </w:r>
      <w:r w:rsidR="00CA5FDA">
        <w:rPr>
          <w:rFonts w:ascii="Century" w:hAnsi="Century" w:cs="FrankRuehl" w:hint="cs"/>
          <w:spacing w:val="10"/>
          <w:sz w:val="22"/>
          <w:szCs w:val="28"/>
          <w:rtl/>
        </w:rPr>
        <w:t xml:space="preserve">הסדר ניגודי העניינים של המשיב 2, 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הוצאה בסמכות, וכי תוקפה הנורמטיבי כלפי המשיב </w:t>
      </w:r>
      <w:r w:rsidR="00CA5FDA">
        <w:rPr>
          <w:rFonts w:ascii="Century" w:hAnsi="Century" w:cs="FrankRuehl" w:hint="cs"/>
          <w:spacing w:val="10"/>
          <w:sz w:val="22"/>
          <w:szCs w:val="28"/>
          <w:rtl/>
        </w:rPr>
        <w:t>2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הוא מחייב, 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>בין מכוח הדין בין מכוח התחייבות שהמשיב 2 קיבל על עצמו</w:t>
      </w:r>
      <w:r w:rsidR="00672D0F">
        <w:rPr>
          <w:rFonts w:ascii="Century" w:hAnsi="Century" w:cs="FrankRuehl" w:hint="cs"/>
          <w:spacing w:val="10"/>
          <w:sz w:val="22"/>
          <w:szCs w:val="28"/>
          <w:rtl/>
        </w:rPr>
        <w:t xml:space="preserve"> - 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>כל עוד לא התקבלה החלטה אחרת.</w:t>
      </w:r>
    </w:p>
    <w:p w:rsidR="00C03D84" w:rsidRPr="00C03D84" w:rsidRDefault="00CA5FDA" w:rsidP="008220F5">
      <w:pPr>
        <w:adjustRightInd/>
        <w:spacing w:after="240" w:line="360" w:lineRule="auto"/>
        <w:ind w:left="720"/>
        <w:jc w:val="both"/>
        <w:textAlignment w:val="auto"/>
        <w:rPr>
          <w:rFonts w:ascii="Century" w:hAnsi="Century" w:cs="FrankRuehl"/>
          <w:spacing w:val="10"/>
          <w:sz w:val="22"/>
          <w:szCs w:val="28"/>
        </w:rPr>
      </w:pP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כמו כן, </w:t>
      </w:r>
      <w:r w:rsidR="00C03D84"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יוסיפו 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המשיבים </w:t>
      </w:r>
      <w:r>
        <w:rPr>
          <w:rFonts w:ascii="Century" w:hAnsi="Century" w:cs="FrankRuehl" w:hint="cs"/>
          <w:spacing w:val="10"/>
          <w:sz w:val="22"/>
          <w:szCs w:val="28"/>
          <w:rtl/>
        </w:rPr>
        <w:t>ויתייחסו לטענתו החלופית של המשיב 2 לפיה</w:t>
      </w:r>
      <w:r w:rsidR="00C03D84"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אין להחיל 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עליו </w:t>
      </w:r>
      <w:r w:rsidR="00C03D84"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מגבלות </w:t>
      </w:r>
      <w:r w:rsidR="008220F5">
        <w:rPr>
          <w:rFonts w:ascii="Century" w:hAnsi="Century" w:cs="FrankRuehl" w:hint="cs"/>
          <w:spacing w:val="10"/>
          <w:sz w:val="22"/>
          <w:szCs w:val="28"/>
          <w:rtl/>
        </w:rPr>
        <w:t xml:space="preserve">מסויימות </w:t>
      </w:r>
      <w:r w:rsidR="00C03D84" w:rsidRPr="00C03D84">
        <w:rPr>
          <w:rFonts w:ascii="Century" w:hAnsi="Century" w:cs="FrankRuehl" w:hint="cs"/>
          <w:spacing w:val="10"/>
          <w:sz w:val="22"/>
          <w:szCs w:val="28"/>
          <w:rtl/>
        </w:rPr>
        <w:t>הכלולות בחוות הדעת</w:t>
      </w:r>
      <w:r w:rsidR="008220F5">
        <w:rPr>
          <w:rFonts w:ascii="Century" w:hAnsi="Century" w:cs="FrankRuehl" w:hint="cs"/>
          <w:spacing w:val="10"/>
          <w:sz w:val="22"/>
          <w:szCs w:val="28"/>
          <w:rtl/>
        </w:rPr>
        <w:t>,</w:t>
      </w:r>
      <w:r w:rsidR="00C03D84"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כמפורט בפרק ג' לתגובת </w:t>
      </w:r>
      <w:r w:rsidR="008220F5">
        <w:rPr>
          <w:rFonts w:ascii="Century" w:hAnsi="Century" w:cs="FrankRuehl" w:hint="cs"/>
          <w:spacing w:val="10"/>
          <w:sz w:val="22"/>
          <w:szCs w:val="28"/>
          <w:rtl/>
        </w:rPr>
        <w:t xml:space="preserve">המשיב 2 </w:t>
      </w:r>
      <w:r w:rsidR="00C03D84"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מיום 6.11.2020.   </w:t>
      </w:r>
    </w:p>
    <w:p w:rsidR="00C03D84" w:rsidRPr="00FD13E3" w:rsidRDefault="00C03D84" w:rsidP="00FC2625">
      <w:pPr>
        <w:numPr>
          <w:ilvl w:val="0"/>
          <w:numId w:val="11"/>
        </w:numPr>
        <w:adjustRightInd/>
        <w:spacing w:after="240" w:line="360" w:lineRule="auto"/>
        <w:jc w:val="both"/>
        <w:textAlignment w:val="auto"/>
        <w:rPr>
          <w:rFonts w:ascii="Century" w:hAnsi="Century" w:cs="FrankRuehl"/>
          <w:spacing w:val="10"/>
          <w:sz w:val="22"/>
          <w:szCs w:val="28"/>
        </w:rPr>
      </w:pP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 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מדוע לא ייקבע כי </w:t>
      </w:r>
      <w:r w:rsidR="00CA5FDA">
        <w:rPr>
          <w:rFonts w:ascii="Century" w:hAnsi="Century" w:cs="FrankRuehl" w:hint="cs"/>
          <w:spacing w:val="10"/>
          <w:sz w:val="22"/>
          <w:szCs w:val="28"/>
          <w:rtl/>
        </w:rPr>
        <w:t>ככל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שחוות הדעת ניתנה בסמכות והיא מחייבת את המשיב </w:t>
      </w:r>
      <w:r w:rsidR="00CA5FDA">
        <w:rPr>
          <w:rFonts w:ascii="Century" w:hAnsi="Century" w:cs="FrankRuehl" w:hint="cs"/>
          <w:spacing w:val="10"/>
          <w:sz w:val="22"/>
          <w:szCs w:val="28"/>
          <w:rtl/>
        </w:rPr>
        <w:t>2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>, היא תחול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>,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בשינויים המחויבים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>,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גם ביחס</w:t>
      </w:r>
      <w:r w:rsidR="00CA5FDA">
        <w:rPr>
          <w:rFonts w:ascii="Century" w:hAnsi="Century" w:cs="FrankRuehl" w:hint="cs"/>
          <w:spacing w:val="10"/>
          <w:sz w:val="22"/>
          <w:szCs w:val="28"/>
          <w:rtl/>
        </w:rPr>
        <w:t xml:space="preserve"> ל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>שר לביטחון פנים</w:t>
      </w:r>
      <w:r w:rsidR="00CA5FDA">
        <w:rPr>
          <w:rFonts w:ascii="Century" w:hAnsi="Century" w:cs="FrankRuehl" w:hint="cs"/>
          <w:spacing w:val="10"/>
          <w:sz w:val="22"/>
          <w:szCs w:val="28"/>
          <w:rtl/>
        </w:rPr>
        <w:t xml:space="preserve"> (המשיב 3 בבג"ץ 3056/20 והמשיב 4 בבג"ץ 5920/20)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>, וזאת בכל הנוגע למינוי בעלי תפקידים במערכת המשפט וכן ביחס להחלטות שיש להן זיקה למשפטו הפלילי של ראש הממשלה</w:t>
      </w:r>
      <w:r w:rsidRPr="00FD13E3">
        <w:rPr>
          <w:rFonts w:ascii="Century" w:hAnsi="Century" w:cs="FrankRuehl" w:hint="cs"/>
          <w:spacing w:val="10"/>
          <w:sz w:val="22"/>
          <w:szCs w:val="28"/>
          <w:rtl/>
          <w:lang w:bidi="ar-SA"/>
        </w:rPr>
        <w:t>.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</w:t>
      </w:r>
    </w:p>
    <w:p w:rsidR="00CA5FDA" w:rsidRPr="00CA5FDA" w:rsidRDefault="00C03D84" w:rsidP="008220F5">
      <w:pPr>
        <w:numPr>
          <w:ilvl w:val="0"/>
          <w:numId w:val="11"/>
        </w:numPr>
        <w:adjustRightInd/>
        <w:spacing w:after="240" w:line="360" w:lineRule="auto"/>
        <w:jc w:val="both"/>
        <w:textAlignment w:val="auto"/>
      </w:pP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>מדוע לא יינתן צו המורה למשיב 2 ולמשיב 3 בבג"ץ 5920/20 להשלים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 xml:space="preserve"> במהירות </w:t>
      </w:r>
      <w:r w:rsidR="00672D0F">
        <w:rPr>
          <w:rFonts w:ascii="Century" w:hAnsi="Century" w:cs="FrankRuehl" w:hint="cs"/>
          <w:spacing w:val="10"/>
          <w:sz w:val="22"/>
          <w:szCs w:val="28"/>
          <w:rtl/>
        </w:rPr>
        <w:t>ה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>ראויה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את </w:t>
      </w:r>
      <w:r w:rsidR="008220F5">
        <w:rPr>
          <w:rFonts w:ascii="Century" w:hAnsi="Century" w:cs="FrankRuehl" w:hint="cs"/>
          <w:spacing w:val="10"/>
          <w:sz w:val="22"/>
          <w:szCs w:val="28"/>
          <w:rtl/>
        </w:rPr>
        <w:t>ה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>מינויים של</w:t>
      </w:r>
      <w:r w:rsidRPr="00C03D84">
        <w:rPr>
          <w:rFonts w:ascii="Century" w:hAnsi="Century" w:cs="FrankRuehl" w:hint="cs"/>
          <w:spacing w:val="10"/>
          <w:sz w:val="22"/>
          <w:szCs w:val="28"/>
          <w:rtl/>
          <w:lang w:bidi="ar-SA"/>
        </w:rPr>
        <w:t xml:space="preserve"> 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כלל הבכירים בשירות הציבורי </w:t>
      </w:r>
      <w:r w:rsidR="008220F5">
        <w:rPr>
          <w:rFonts w:ascii="Century" w:hAnsi="Century" w:cs="FrankRuehl" w:hint="cs"/>
          <w:spacing w:val="10"/>
          <w:sz w:val="22"/>
          <w:szCs w:val="28"/>
          <w:rtl/>
        </w:rPr>
        <w:t>ה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>טעו</w:t>
      </w:r>
      <w:r w:rsidR="008220F5">
        <w:rPr>
          <w:rFonts w:ascii="Century" w:hAnsi="Century" w:cs="FrankRuehl" w:hint="cs"/>
          <w:spacing w:val="10"/>
          <w:sz w:val="22"/>
          <w:szCs w:val="28"/>
          <w:rtl/>
        </w:rPr>
        <w:t>נים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אישור ממשלה, וזאת</w:t>
      </w:r>
      <w:r w:rsidR="00CA5FDA">
        <w:rPr>
          <w:rFonts w:ascii="Century" w:hAnsi="Century" w:cs="FrankRuehl" w:hint="cs"/>
          <w:spacing w:val="10"/>
          <w:sz w:val="22"/>
          <w:szCs w:val="28"/>
          <w:rtl/>
        </w:rPr>
        <w:t xml:space="preserve"> לא יאוחר מהמועד שעליו יצהירו ויאושר על ידי בית המשפט.</w:t>
      </w:r>
    </w:p>
    <w:p w:rsidR="000D0AF2" w:rsidRPr="00F61729" w:rsidRDefault="000D0AF2" w:rsidP="005455A5">
      <w:pPr>
        <w:adjustRightInd/>
        <w:spacing w:after="240" w:line="360" w:lineRule="auto"/>
        <w:ind w:left="360"/>
        <w:jc w:val="both"/>
        <w:textAlignment w:val="auto"/>
        <w:rPr>
          <w:rFonts w:cs="FrankRuehl"/>
          <w:sz w:val="28"/>
          <w:szCs w:val="28"/>
          <w:rtl/>
        </w:rPr>
      </w:pPr>
      <w:r>
        <w:rPr>
          <w:rtl/>
        </w:rPr>
        <w:tab/>
      </w:r>
      <w:r w:rsidR="00C03D84" w:rsidRPr="00CA5FDA">
        <w:rPr>
          <w:rFonts w:cs="FrankRuehl" w:hint="cs"/>
          <w:sz w:val="28"/>
          <w:szCs w:val="28"/>
          <w:rtl/>
        </w:rPr>
        <w:t>תצהירי תשובה יוגשו בתוך 30 ימים.</w:t>
      </w:r>
    </w:p>
    <w:p w:rsidR="000D0AF2" w:rsidRDefault="005455A5" w:rsidP="00FC2625">
      <w:pPr>
        <w:pStyle w:val="Ruller4"/>
        <w:ind w:left="360"/>
        <w:rPr>
          <w:rtl/>
        </w:rPr>
      </w:pPr>
      <w:r>
        <w:rPr>
          <w:rtl/>
        </w:rPr>
        <w:tab/>
      </w:r>
      <w:r w:rsidR="000D0AF2">
        <w:rPr>
          <w:rtl/>
        </w:rPr>
        <w:t xml:space="preserve">ניתנה היום, </w:t>
      </w:r>
      <w:r w:rsidR="000D0AF2">
        <w:rPr>
          <w:rFonts w:hint="eastAsia"/>
          <w:rtl/>
        </w:rPr>
        <w:t>‏</w:t>
      </w:r>
      <w:r w:rsidR="00FC2625">
        <w:rPr>
          <w:rFonts w:hint="cs"/>
          <w:rtl/>
        </w:rPr>
        <w:t>א'</w:t>
      </w:r>
      <w:r w:rsidR="000D0AF2">
        <w:rPr>
          <w:rtl/>
        </w:rPr>
        <w:t xml:space="preserve"> ב</w:t>
      </w:r>
      <w:r w:rsidR="00FC2625">
        <w:rPr>
          <w:rFonts w:hint="cs"/>
          <w:rtl/>
        </w:rPr>
        <w:t>כסלו</w:t>
      </w:r>
      <w:r w:rsidR="000D0AF2">
        <w:rPr>
          <w:rtl/>
        </w:rPr>
        <w:t xml:space="preserve"> התשפ"א (</w:t>
      </w:r>
      <w:r w:rsidR="000D0AF2">
        <w:rPr>
          <w:rFonts w:hint="eastAsia"/>
          <w:rtl/>
        </w:rPr>
        <w:t>‏</w:t>
      </w:r>
      <w:r w:rsidR="000D0AF2">
        <w:rPr>
          <w:rtl/>
        </w:rPr>
        <w:t>1</w:t>
      </w:r>
      <w:r w:rsidR="00FC2625">
        <w:rPr>
          <w:rFonts w:hint="cs"/>
          <w:rtl/>
        </w:rPr>
        <w:t>7</w:t>
      </w:r>
      <w:r w:rsidR="000D0AF2">
        <w:rPr>
          <w:rtl/>
        </w:rPr>
        <w:t>.11.2020).</w:t>
      </w:r>
    </w:p>
    <w:p w:rsidR="000D0AF2" w:rsidRDefault="000D0AF2" w:rsidP="00C03D84">
      <w:pPr>
        <w:pStyle w:val="Ruller4"/>
        <w:ind w:left="360"/>
        <w:rPr>
          <w:rtl/>
        </w:rPr>
      </w:pPr>
    </w:p>
    <w:p w:rsidR="00FD13E3" w:rsidRDefault="00FD13E3" w:rsidP="00A51FAE">
      <w:pPr>
        <w:pStyle w:val="Ruller4"/>
        <w:rPr>
          <w:rtl/>
        </w:rPr>
      </w:pP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83"/>
        <w:gridCol w:w="2797"/>
        <w:gridCol w:w="2783"/>
      </w:tblGrid>
      <w:tr w:rsidR="001A0164" w:rsidTr="00D00B1D">
        <w:tc>
          <w:tcPr>
            <w:tcW w:w="2842" w:type="dxa"/>
            <w:shd w:val="clear" w:color="auto" w:fill="auto"/>
          </w:tcPr>
          <w:p w:rsidR="00016EF1" w:rsidRDefault="0096165E" w:rsidP="008220F5">
            <w:pPr>
              <w:pStyle w:val="Ruller4"/>
              <w:spacing w:after="240"/>
              <w:rPr>
                <w:rtl/>
              </w:rPr>
            </w:pPr>
            <w:r>
              <w:rPr>
                <w:rtl/>
              </w:rPr>
              <w:t xml:space="preserve"> ה נ ש י א ה</w:t>
            </w:r>
          </w:p>
        </w:tc>
        <w:tc>
          <w:tcPr>
            <w:tcW w:w="2843" w:type="dxa"/>
            <w:shd w:val="clear" w:color="auto" w:fill="auto"/>
          </w:tcPr>
          <w:p w:rsidR="001A0164" w:rsidRDefault="0096165E" w:rsidP="008220F5">
            <w:pPr>
              <w:pStyle w:val="Ruller4"/>
              <w:spacing w:after="240"/>
              <w:jc w:val="center"/>
              <w:rPr>
                <w:rtl/>
              </w:rPr>
            </w:pPr>
            <w:r>
              <w:rPr>
                <w:rtl/>
              </w:rPr>
              <w:t>המשנה לנשיאה</w:t>
            </w:r>
          </w:p>
        </w:tc>
        <w:tc>
          <w:tcPr>
            <w:tcW w:w="2843" w:type="dxa"/>
            <w:shd w:val="clear" w:color="auto" w:fill="auto"/>
          </w:tcPr>
          <w:p w:rsidR="001A0164" w:rsidRDefault="0096165E" w:rsidP="008220F5">
            <w:pPr>
              <w:pStyle w:val="Ruller4"/>
              <w:spacing w:after="240"/>
              <w:jc w:val="center"/>
              <w:rPr>
                <w:rtl/>
              </w:rPr>
            </w:pPr>
            <w:r>
              <w:rPr>
                <w:rtl/>
              </w:rPr>
              <w:t>ש ו פ ט</w:t>
            </w:r>
          </w:p>
        </w:tc>
      </w:tr>
      <w:tr w:rsidR="008220F5" w:rsidTr="00D00B1D">
        <w:tc>
          <w:tcPr>
            <w:tcW w:w="2842" w:type="dxa"/>
            <w:shd w:val="clear" w:color="auto" w:fill="auto"/>
          </w:tcPr>
          <w:p w:rsidR="008220F5" w:rsidRDefault="008220F5" w:rsidP="008220F5">
            <w:pPr>
              <w:pStyle w:val="Ruller4"/>
              <w:spacing w:after="240"/>
              <w:rPr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:rsidR="008220F5" w:rsidRDefault="008220F5" w:rsidP="008220F5">
            <w:pPr>
              <w:pStyle w:val="Ruller4"/>
              <w:spacing w:after="240"/>
              <w:jc w:val="center"/>
              <w:rPr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:rsidR="008220F5" w:rsidRDefault="008220F5" w:rsidP="008220F5">
            <w:pPr>
              <w:pStyle w:val="Ruller4"/>
              <w:spacing w:after="240"/>
              <w:jc w:val="center"/>
              <w:rPr>
                <w:rtl/>
              </w:rPr>
            </w:pPr>
          </w:p>
        </w:tc>
      </w:tr>
    </w:tbl>
    <w:p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96165E">
        <w:rPr>
          <w:sz w:val="16"/>
        </w:rPr>
        <w:t xml:space="preserve">20030560_V31.docx   </w:t>
      </w:r>
      <w:r w:rsidR="0096165E">
        <w:rPr>
          <w:sz w:val="16"/>
          <w:rtl/>
        </w:rPr>
        <w:t>מב</w:t>
      </w:r>
    </w:p>
    <w:p w:rsidR="00591983" w:rsidRPr="0058440A" w:rsidRDefault="00591983" w:rsidP="0058440A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 w:rsidR="00866D0F">
        <w:rPr>
          <w:rFonts w:hint="cs"/>
          <w:rtl/>
        </w:rPr>
        <w:t>, 3852*</w:t>
      </w:r>
      <w:r>
        <w:rPr>
          <w:rFonts w:hint="cs"/>
          <w:rtl/>
        </w:rPr>
        <w:t xml:space="preserve"> ; אתר אינטרנט,  </w:t>
      </w:r>
      <w:hyperlink r:id="rId9" w:history="1">
        <w:r w:rsidR="0058440A" w:rsidRPr="00CB1590">
          <w:rPr>
            <w:rStyle w:val="Hyperlink"/>
            <w:sz w:val="16"/>
          </w:rPr>
          <w:t>http://supreme.court.gov.i</w:t>
        </w:r>
      </w:hyperlink>
      <w:r w:rsidR="0058440A" w:rsidRPr="00CB1590">
        <w:rPr>
          <w:sz w:val="16"/>
        </w:rPr>
        <w:t>l</w:t>
      </w:r>
    </w:p>
    <w:p w:rsidR="003F1F97" w:rsidRDefault="003F1F97" w:rsidP="00591983">
      <w:pPr>
        <w:pStyle w:val="Ruller38"/>
        <w:rPr>
          <w:rtl/>
        </w:rPr>
      </w:pPr>
    </w:p>
    <w:p w:rsidR="000D0AF2" w:rsidRDefault="000D0AF2" w:rsidP="00591983">
      <w:pPr>
        <w:pStyle w:val="Ruller38"/>
        <w:rPr>
          <w:rtl/>
        </w:rPr>
      </w:pPr>
    </w:p>
    <w:p w:rsidR="000D0AF2" w:rsidRDefault="000D0AF2" w:rsidP="00591983">
      <w:pPr>
        <w:pStyle w:val="Ruller38"/>
        <w:rPr>
          <w:rtl/>
        </w:rPr>
      </w:pPr>
    </w:p>
    <w:p w:rsidR="000D0AF2" w:rsidRDefault="000D0AF2" w:rsidP="00591983">
      <w:pPr>
        <w:pStyle w:val="Ruller38"/>
        <w:rPr>
          <w:rtl/>
        </w:rPr>
      </w:pPr>
    </w:p>
    <w:p w:rsidR="000D0AF2" w:rsidRDefault="000D0AF2" w:rsidP="00591983">
      <w:pPr>
        <w:pStyle w:val="Ruller38"/>
        <w:rPr>
          <w:rtl/>
        </w:rPr>
      </w:pPr>
    </w:p>
    <w:p w:rsidR="000D0AF2" w:rsidRPr="00377102" w:rsidRDefault="000D0AF2" w:rsidP="000D0AF2">
      <w:pPr>
        <w:jc w:val="right"/>
        <w:rPr>
          <w:rFonts w:cs="Miriam"/>
          <w:b/>
          <w:bCs/>
          <w:sz w:val="16"/>
          <w:szCs w:val="16"/>
          <w:u w:val="single"/>
        </w:rPr>
      </w:pPr>
    </w:p>
    <w:p w:rsidR="000D0AF2" w:rsidRPr="00377102" w:rsidRDefault="000D0AF2" w:rsidP="000D0AF2">
      <w:pPr>
        <w:jc w:val="right"/>
        <w:rPr>
          <w:rFonts w:cs="Miriam"/>
          <w:b/>
          <w:bCs/>
          <w:sz w:val="16"/>
          <w:szCs w:val="16"/>
          <w:u w:val="single"/>
        </w:rPr>
      </w:pPr>
    </w:p>
    <w:tbl>
      <w:tblPr>
        <w:bidiVisual/>
        <w:tblW w:w="8363" w:type="dxa"/>
        <w:tblInd w:w="9" w:type="dxa"/>
        <w:tblLook w:val="0000" w:firstRow="0" w:lastRow="0" w:firstColumn="0" w:lastColumn="0" w:noHBand="0" w:noVBand="0"/>
      </w:tblPr>
      <w:tblGrid>
        <w:gridCol w:w="8363"/>
      </w:tblGrid>
      <w:tr w:rsidR="000D0AF2" w:rsidTr="00B51766">
        <w:tc>
          <w:tcPr>
            <w:tcW w:w="7848" w:type="dxa"/>
          </w:tcPr>
          <w:p w:rsidR="000D0AF2" w:rsidRPr="00624A42" w:rsidRDefault="000D0AF2" w:rsidP="00B51766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 בשבתו כבית משפט גבוה לצדק</w:t>
            </w:r>
          </w:p>
        </w:tc>
      </w:tr>
    </w:tbl>
    <w:p w:rsidR="000D0AF2" w:rsidRDefault="000D0AF2" w:rsidP="000D0AF2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D0AF2" w:rsidTr="00B51766">
        <w:trPr>
          <w:trHeight w:val="342"/>
        </w:trPr>
        <w:tc>
          <w:tcPr>
            <w:tcW w:w="9828" w:type="dxa"/>
          </w:tcPr>
          <w:p w:rsidR="000D0AF2" w:rsidRPr="00810894" w:rsidRDefault="000D0AF2" w:rsidP="00B51766">
            <w:pPr>
              <w:pStyle w:val="FileNumb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בג"ץ  3056/20</w:t>
            </w:r>
          </w:p>
        </w:tc>
      </w:tr>
      <w:tr w:rsidR="000D0AF2" w:rsidTr="00B51766">
        <w:trPr>
          <w:trHeight w:val="342"/>
        </w:trPr>
        <w:tc>
          <w:tcPr>
            <w:tcW w:w="9828" w:type="dxa"/>
          </w:tcPr>
          <w:p w:rsidR="000D0AF2" w:rsidRPr="00810894" w:rsidRDefault="000D0AF2" w:rsidP="00B51766">
            <w:pPr>
              <w:pStyle w:val="FileNumb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>בג"ץ  5920/20</w:t>
            </w:r>
          </w:p>
        </w:tc>
      </w:tr>
    </w:tbl>
    <w:p w:rsidR="000D0AF2" w:rsidRDefault="000D0AF2" w:rsidP="000D0AF2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220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2981"/>
        <w:gridCol w:w="5239"/>
      </w:tblGrid>
      <w:tr w:rsidR="000D0AF2" w:rsidRPr="00FD0BE7" w:rsidTr="00B51766">
        <w:trPr>
          <w:trHeight w:val="287"/>
        </w:trPr>
        <w:tc>
          <w:tcPr>
            <w:tcW w:w="2981" w:type="dxa"/>
            <w:hideMark/>
          </w:tcPr>
          <w:p w:rsidR="000D0AF2" w:rsidRPr="00FD0BE7" w:rsidRDefault="000D0AF2" w:rsidP="00B51766">
            <w:pPr>
              <w:textAlignment w:val="auto"/>
              <w:rPr>
                <w:rFonts w:cs="Miriam"/>
                <w:b/>
                <w:bCs/>
                <w:sz w:val="22"/>
                <w:szCs w:val="28"/>
                <w:u w:val="single"/>
              </w:rPr>
            </w:pPr>
            <w:r w:rsidRPr="00FD0BE7">
              <w:rPr>
                <w:sz w:val="22"/>
                <w:szCs w:val="28"/>
                <w:rtl/>
              </w:rPr>
              <w:t>לפני:</w:t>
            </w:r>
            <w:r w:rsidRPr="00FD0BE7">
              <w:rPr>
                <w:sz w:val="22"/>
                <w:szCs w:val="28"/>
                <w:rtl/>
              </w:rPr>
              <w:tab/>
            </w:r>
          </w:p>
        </w:tc>
        <w:tc>
          <w:tcPr>
            <w:tcW w:w="5239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כבוד הנשיאה א' חיות</w:t>
            </w:r>
          </w:p>
        </w:tc>
      </w:tr>
      <w:tr w:rsidR="000D0AF2" w:rsidRPr="00FD0BE7" w:rsidTr="00B51766">
        <w:trPr>
          <w:trHeight w:val="287"/>
        </w:trPr>
        <w:tc>
          <w:tcPr>
            <w:tcW w:w="2981" w:type="dxa"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</w:rPr>
            </w:pPr>
          </w:p>
        </w:tc>
        <w:tc>
          <w:tcPr>
            <w:tcW w:w="5239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כבוד המשנה לנשיאה ח' מלצר</w:t>
            </w:r>
          </w:p>
        </w:tc>
      </w:tr>
      <w:tr w:rsidR="000D0AF2" w:rsidRPr="00FD0BE7" w:rsidTr="00B51766">
        <w:trPr>
          <w:trHeight w:val="287"/>
        </w:trPr>
        <w:tc>
          <w:tcPr>
            <w:tcW w:w="2981" w:type="dxa"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239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כבוד השופט נ' הנדל</w:t>
            </w:r>
          </w:p>
        </w:tc>
      </w:tr>
    </w:tbl>
    <w:p w:rsidR="000D0AF2" w:rsidRPr="00FD0BE7" w:rsidRDefault="000D0AF2" w:rsidP="000D0AF2">
      <w:pPr>
        <w:tabs>
          <w:tab w:val="left" w:pos="3210"/>
          <w:tab w:val="left" w:pos="6753"/>
        </w:tabs>
        <w:spacing w:line="360" w:lineRule="auto"/>
        <w:textAlignment w:val="auto"/>
        <w:rPr>
          <w:rFonts w:cs="Miriam"/>
          <w:b/>
          <w:bCs/>
          <w:spacing w:val="10"/>
          <w:sz w:val="22"/>
          <w:szCs w:val="28"/>
          <w:u w:val="single"/>
          <w:rtl/>
        </w:rPr>
      </w:pPr>
    </w:p>
    <w:p w:rsidR="000D0AF2" w:rsidRPr="00FD0BE7" w:rsidRDefault="000D0AF2" w:rsidP="000D0AF2">
      <w:pPr>
        <w:jc w:val="right"/>
        <w:textAlignment w:val="auto"/>
        <w:rPr>
          <w:b/>
          <w:bCs/>
          <w:sz w:val="26"/>
          <w:szCs w:val="26"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0D0AF2" w:rsidRPr="00FD0BE7" w:rsidTr="00B51766">
        <w:tc>
          <w:tcPr>
            <w:tcW w:w="3210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העותרת בבג"ץ 3056/20:</w:t>
            </w: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התנועה למען איכות השלטון בישראל</w:t>
            </w:r>
          </w:p>
        </w:tc>
      </w:tr>
    </w:tbl>
    <w:p w:rsidR="000D0AF2" w:rsidRPr="00FD0BE7" w:rsidRDefault="000D0AF2" w:rsidP="000D0AF2">
      <w:pPr>
        <w:textAlignment w:val="auto"/>
        <w:rPr>
          <w:sz w:val="22"/>
          <w:szCs w:val="28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0D0AF2" w:rsidRPr="00FD0BE7" w:rsidTr="00B51766">
        <w:tc>
          <w:tcPr>
            <w:tcW w:w="3210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העותרים בבג"ץ 5920/20:</w:t>
            </w: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יורם יעקובי ו-68 אח'</w:t>
            </w:r>
          </w:p>
        </w:tc>
      </w:tr>
    </w:tbl>
    <w:p w:rsidR="000D0AF2" w:rsidRPr="00FD0BE7" w:rsidRDefault="000D0AF2" w:rsidP="000D0AF2">
      <w:pPr>
        <w:textAlignment w:val="auto"/>
        <w:rPr>
          <w:sz w:val="22"/>
          <w:szCs w:val="28"/>
        </w:rPr>
      </w:pPr>
      <w:r w:rsidRPr="00FD0BE7">
        <w:rPr>
          <w:sz w:val="22"/>
          <w:szCs w:val="28"/>
        </w:rPr>
        <w:t xml:space="preserve"> </w:t>
      </w:r>
      <w:r w:rsidRPr="00FD0BE7">
        <w:rPr>
          <w:sz w:val="22"/>
          <w:szCs w:val="28"/>
        </w:rPr>
        <w:tab/>
        <w:t xml:space="preserve">        </w:t>
      </w:r>
      <w:r w:rsidRPr="00FD0BE7">
        <w:rPr>
          <w:sz w:val="22"/>
          <w:szCs w:val="28"/>
        </w:rPr>
        <w:tab/>
        <w:t xml:space="preserve">   </w:t>
      </w:r>
      <w:r w:rsidRPr="00FD0BE7">
        <w:rPr>
          <w:sz w:val="22"/>
          <w:szCs w:val="28"/>
        </w:rPr>
        <w:tab/>
      </w:r>
      <w:r w:rsidRPr="00FD0BE7">
        <w:rPr>
          <w:sz w:val="22"/>
          <w:szCs w:val="28"/>
        </w:rPr>
        <w:tab/>
      </w:r>
      <w:r w:rsidRPr="00FD0BE7">
        <w:rPr>
          <w:sz w:val="22"/>
          <w:szCs w:val="28"/>
        </w:rPr>
        <w:tab/>
      </w:r>
      <w:r w:rsidRPr="00FD0BE7">
        <w:rPr>
          <w:sz w:val="22"/>
          <w:szCs w:val="28"/>
        </w:rPr>
        <w:tab/>
      </w:r>
    </w:p>
    <w:p w:rsidR="000D0AF2" w:rsidRPr="00FD0BE7" w:rsidRDefault="000D0AF2" w:rsidP="000D0AF2">
      <w:pPr>
        <w:ind w:left="3600" w:firstLine="720"/>
        <w:textAlignment w:val="auto"/>
        <w:rPr>
          <w:sz w:val="22"/>
          <w:szCs w:val="28"/>
        </w:rPr>
      </w:pPr>
      <w:r w:rsidRPr="00FD0BE7">
        <w:rPr>
          <w:sz w:val="22"/>
          <w:szCs w:val="28"/>
        </w:rPr>
        <w:t xml:space="preserve">   </w:t>
      </w:r>
      <w:r w:rsidRPr="00FD0BE7">
        <w:rPr>
          <w:sz w:val="22"/>
          <w:szCs w:val="28"/>
          <w:rtl/>
        </w:rPr>
        <w:t>נ</w:t>
      </w:r>
      <w:r w:rsidRPr="00FD0BE7">
        <w:rPr>
          <w:sz w:val="22"/>
          <w:szCs w:val="28"/>
        </w:rPr>
        <w:t xml:space="preserve">  </w:t>
      </w:r>
      <w:r w:rsidRPr="00FD0BE7">
        <w:rPr>
          <w:sz w:val="22"/>
          <w:szCs w:val="28"/>
          <w:rtl/>
        </w:rPr>
        <w:t>ג</w:t>
      </w:r>
      <w:r w:rsidRPr="00FD0BE7">
        <w:rPr>
          <w:sz w:val="22"/>
          <w:szCs w:val="28"/>
        </w:rPr>
        <w:t xml:space="preserve">  </w:t>
      </w:r>
      <w:r w:rsidRPr="00FD0BE7">
        <w:rPr>
          <w:sz w:val="22"/>
          <w:szCs w:val="28"/>
          <w:rtl/>
        </w:rPr>
        <w:t>ד</w:t>
      </w:r>
    </w:p>
    <w:p w:rsidR="000D0AF2" w:rsidRPr="00FD0BE7" w:rsidRDefault="000D0AF2" w:rsidP="000D0AF2">
      <w:pPr>
        <w:textAlignment w:val="auto"/>
        <w:rPr>
          <w:sz w:val="22"/>
          <w:szCs w:val="28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0D0AF2" w:rsidRPr="00FD0BE7" w:rsidTr="00B51766">
        <w:tc>
          <w:tcPr>
            <w:tcW w:w="3210" w:type="dxa"/>
            <w:vMerge w:val="restart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המשיבים בבג"ץ 3056/20:</w:t>
            </w: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1. היועץ המשפטי לממשלה</w:t>
            </w:r>
          </w:p>
        </w:tc>
      </w:tr>
      <w:tr w:rsidR="000D0AF2" w:rsidRPr="00FD0BE7" w:rsidTr="00B51766">
        <w:tc>
          <w:tcPr>
            <w:tcW w:w="0" w:type="auto"/>
            <w:vMerge/>
            <w:vAlign w:val="center"/>
            <w:hideMark/>
          </w:tcPr>
          <w:p w:rsidR="000D0AF2" w:rsidRPr="00FD0BE7" w:rsidRDefault="000D0AF2" w:rsidP="00B517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8"/>
              </w:rPr>
            </w:pP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2. ראש הממשלה</w:t>
            </w:r>
          </w:p>
        </w:tc>
      </w:tr>
      <w:tr w:rsidR="000D0AF2" w:rsidRPr="00FD0BE7" w:rsidTr="00B51766">
        <w:tc>
          <w:tcPr>
            <w:tcW w:w="3210" w:type="dxa"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>
              <w:rPr>
                <w:rFonts w:hint="cs"/>
                <w:sz w:val="22"/>
                <w:szCs w:val="28"/>
                <w:rtl/>
              </w:rPr>
              <w:t>3</w:t>
            </w:r>
            <w:r w:rsidRPr="00FD0BE7">
              <w:rPr>
                <w:sz w:val="22"/>
                <w:szCs w:val="28"/>
                <w:rtl/>
              </w:rPr>
              <w:t>. השר לביטחון פנים</w:t>
            </w:r>
          </w:p>
        </w:tc>
      </w:tr>
    </w:tbl>
    <w:p w:rsidR="000D0AF2" w:rsidRPr="00FD0BE7" w:rsidRDefault="000D0AF2" w:rsidP="000D0AF2">
      <w:pPr>
        <w:textAlignment w:val="auto"/>
        <w:rPr>
          <w:sz w:val="22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0"/>
        <w:gridCol w:w="5102"/>
      </w:tblGrid>
      <w:tr w:rsidR="000D0AF2" w:rsidRPr="00FD0BE7" w:rsidTr="00B51766">
        <w:tc>
          <w:tcPr>
            <w:tcW w:w="3210" w:type="dxa"/>
            <w:vMerge w:val="restart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המשיבים בבג"ץ 5920/20:</w:t>
            </w: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1. היועץ המשפטי לממשלה</w:t>
            </w:r>
          </w:p>
        </w:tc>
      </w:tr>
      <w:tr w:rsidR="000D0AF2" w:rsidRPr="00FD0BE7" w:rsidTr="00B51766">
        <w:tc>
          <w:tcPr>
            <w:tcW w:w="0" w:type="auto"/>
            <w:vMerge/>
            <w:vAlign w:val="center"/>
            <w:hideMark/>
          </w:tcPr>
          <w:p w:rsidR="000D0AF2" w:rsidRPr="00FD0BE7" w:rsidRDefault="000D0AF2" w:rsidP="00B517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8"/>
              </w:rPr>
            </w:pP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</w:rPr>
            </w:pPr>
            <w:r w:rsidRPr="00FD0BE7">
              <w:rPr>
                <w:sz w:val="22"/>
                <w:szCs w:val="28"/>
                <w:rtl/>
              </w:rPr>
              <w:t>2. ראש הממשלה</w:t>
            </w:r>
          </w:p>
        </w:tc>
      </w:tr>
      <w:tr w:rsidR="000D0AF2" w:rsidRPr="00FD0BE7" w:rsidTr="00B51766">
        <w:tc>
          <w:tcPr>
            <w:tcW w:w="3210" w:type="dxa"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3. שר הביטחון וראש הממשלה החליפי</w:t>
            </w:r>
          </w:p>
        </w:tc>
      </w:tr>
      <w:tr w:rsidR="000D0AF2" w:rsidRPr="00FD0BE7" w:rsidTr="00B51766">
        <w:tc>
          <w:tcPr>
            <w:tcW w:w="3210" w:type="dxa"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</w:p>
        </w:tc>
        <w:tc>
          <w:tcPr>
            <w:tcW w:w="5102" w:type="dxa"/>
            <w:hideMark/>
          </w:tcPr>
          <w:p w:rsidR="000D0AF2" w:rsidRPr="00FD0BE7" w:rsidRDefault="000D0AF2" w:rsidP="00B51766">
            <w:pPr>
              <w:textAlignment w:val="auto"/>
              <w:rPr>
                <w:sz w:val="22"/>
                <w:szCs w:val="28"/>
                <w:rtl/>
              </w:rPr>
            </w:pPr>
            <w:r w:rsidRPr="00FD0BE7">
              <w:rPr>
                <w:sz w:val="22"/>
                <w:szCs w:val="28"/>
                <w:rtl/>
              </w:rPr>
              <w:t>4. השר לביטחון הפנים</w:t>
            </w:r>
          </w:p>
        </w:tc>
      </w:tr>
    </w:tbl>
    <w:p w:rsidR="000D0AF2" w:rsidRPr="00FD0BE7" w:rsidRDefault="000D0AF2" w:rsidP="000D0AF2">
      <w:pPr>
        <w:textAlignment w:val="auto"/>
        <w:rPr>
          <w:rtl/>
        </w:rPr>
      </w:pPr>
    </w:p>
    <w:p w:rsidR="000D0AF2" w:rsidRPr="00FD0BE7" w:rsidRDefault="000D0AF2" w:rsidP="000D0AF2">
      <w:pPr>
        <w:textAlignment w:val="auto"/>
        <w:rPr>
          <w:rtl/>
        </w:rPr>
      </w:pPr>
    </w:p>
    <w:tbl>
      <w:tblPr>
        <w:bidiVisual/>
        <w:tblW w:w="8285" w:type="dxa"/>
        <w:tblInd w:w="27" w:type="dxa"/>
        <w:tblLook w:val="04A0" w:firstRow="1" w:lastRow="0" w:firstColumn="1" w:lastColumn="0" w:noHBand="0" w:noVBand="1"/>
      </w:tblPr>
      <w:tblGrid>
        <w:gridCol w:w="3186"/>
        <w:gridCol w:w="5099"/>
      </w:tblGrid>
      <w:tr w:rsidR="000D0AF2" w:rsidRPr="00FD0BE7" w:rsidTr="000D0AF2">
        <w:tc>
          <w:tcPr>
            <w:tcW w:w="3186" w:type="dxa"/>
          </w:tcPr>
          <w:p w:rsidR="000D0AF2" w:rsidRPr="00FD0BE7" w:rsidRDefault="000D0AF2" w:rsidP="00B51766">
            <w:pPr>
              <w:overflowPunct/>
              <w:textAlignment w:val="auto"/>
              <w:rPr>
                <w:sz w:val="26"/>
                <w:szCs w:val="26"/>
                <w:rtl/>
              </w:rPr>
            </w:pPr>
          </w:p>
        </w:tc>
        <w:tc>
          <w:tcPr>
            <w:tcW w:w="5099" w:type="dxa"/>
            <w:hideMark/>
          </w:tcPr>
          <w:p w:rsidR="000D0AF2" w:rsidRPr="00C03D84" w:rsidRDefault="000D0AF2" w:rsidP="00B51766">
            <w:pPr>
              <w:overflowPunct/>
              <w:textAlignment w:val="auto"/>
              <w:rPr>
                <w:rFonts w:ascii="Century" w:hAnsi="Century" w:cs="Miriam"/>
                <w:b/>
                <w:sz w:val="22"/>
                <w:rtl/>
              </w:rPr>
            </w:pPr>
            <w:r w:rsidRPr="00C03D84">
              <w:rPr>
                <w:rFonts w:ascii="Century" w:hAnsi="Century" w:cs="Miriam"/>
                <w:b/>
                <w:sz w:val="22"/>
                <w:rtl/>
              </w:rPr>
              <w:t xml:space="preserve">עתירה למתן צו על תנאי </w:t>
            </w:r>
          </w:p>
          <w:p w:rsidR="000D0AF2" w:rsidRPr="00FD0BE7" w:rsidRDefault="000D0AF2" w:rsidP="00B51766">
            <w:pPr>
              <w:overflowPunct/>
              <w:textAlignment w:val="auto"/>
              <w:rPr>
                <w:rFonts w:ascii="Miriam" w:hAnsi="Miriam" w:cs="Miriam"/>
                <w:sz w:val="26"/>
                <w:szCs w:val="26"/>
                <w:rtl/>
              </w:rPr>
            </w:pPr>
          </w:p>
        </w:tc>
      </w:tr>
    </w:tbl>
    <w:p w:rsidR="000D0AF2" w:rsidRDefault="000D0AF2" w:rsidP="000D0AF2">
      <w:pPr>
        <w:tabs>
          <w:tab w:val="left" w:pos="2552"/>
        </w:tabs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D0AF2" w:rsidTr="00B51766">
        <w:tc>
          <w:tcPr>
            <w:tcW w:w="9837" w:type="dxa"/>
          </w:tcPr>
          <w:p w:rsidR="000D0AF2" w:rsidRDefault="000D0AF2" w:rsidP="00B51766">
            <w:pPr>
              <w:pStyle w:val="DocumentHead"/>
            </w:pPr>
            <w:r>
              <w:rPr>
                <w:rFonts w:hint="cs"/>
                <w:rtl/>
              </w:rPr>
              <w:t>צו על תנאי</w:t>
            </w:r>
          </w:p>
        </w:tc>
      </w:tr>
    </w:tbl>
    <w:p w:rsidR="000D0AF2" w:rsidRDefault="000D0AF2" w:rsidP="00BA1CE1">
      <w:pPr>
        <w:pStyle w:val="BODYVERDICT"/>
        <w:spacing w:line="360" w:lineRule="auto"/>
      </w:pPr>
    </w:p>
    <w:p w:rsidR="000D0AF2" w:rsidRPr="00FD13E3" w:rsidRDefault="000D0AF2" w:rsidP="000D0AF2">
      <w:pPr>
        <w:adjustRightInd/>
        <w:spacing w:after="240" w:line="360" w:lineRule="auto"/>
        <w:ind w:firstLine="720"/>
        <w:jc w:val="both"/>
        <w:textAlignment w:val="auto"/>
        <w:rPr>
          <w:rFonts w:ascii="Century" w:hAnsi="Century" w:cs="FrankRuehl"/>
          <w:spacing w:val="10"/>
          <w:sz w:val="22"/>
          <w:szCs w:val="28"/>
          <w:rtl/>
        </w:rPr>
      </w:pPr>
      <w:r>
        <w:rPr>
          <w:rFonts w:ascii="Century" w:hAnsi="Century" w:cs="FrankRuehl" w:hint="cs"/>
          <w:spacing w:val="10"/>
          <w:sz w:val="22"/>
          <w:szCs w:val="28"/>
          <w:shd w:val="clear" w:color="auto" w:fill="FFFFFF"/>
          <w:rtl/>
        </w:rPr>
        <w:t>על יסוד עתירה זו שהובאה לפני בית משפט זה, מצווה בית המשפט כי ייצא מלפניו צא על תנאי המכוון אל המשיבים והמורה להם להתייצב וליתן טעם:</w:t>
      </w:r>
    </w:p>
    <w:p w:rsidR="00AA5184" w:rsidRDefault="00672D0F" w:rsidP="00AA5184">
      <w:pPr>
        <w:numPr>
          <w:ilvl w:val="0"/>
          <w:numId w:val="13"/>
        </w:numPr>
        <w:adjustRightInd/>
        <w:spacing w:after="240" w:line="360" w:lineRule="auto"/>
        <w:jc w:val="both"/>
        <w:textAlignment w:val="auto"/>
        <w:rPr>
          <w:rFonts w:ascii="Century" w:hAnsi="Century" w:cs="FrankRuehl"/>
          <w:spacing w:val="10"/>
          <w:sz w:val="22"/>
          <w:szCs w:val="28"/>
        </w:rPr>
      </w:pP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 </w:t>
      </w:r>
      <w:r w:rsidR="00AA5184"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מדוע לא ייקבע כי חוות הדעת שפרסם המשיב 1 ביום 2.11.2020 ואשר עניינה 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 xml:space="preserve">הסדר ניגודי העניינים של המשיב 2, </w:t>
      </w:r>
      <w:r w:rsidR="00AA5184"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הוצאה בסמכות, וכי תוקפה הנורמטיבי כלפי המשיב 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>2</w:t>
      </w:r>
      <w:r w:rsidR="00AA5184"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הוא מחייב, </w:t>
      </w:r>
      <w:r w:rsidR="00AA5184">
        <w:rPr>
          <w:rFonts w:ascii="Century" w:hAnsi="Century" w:cs="FrankRuehl" w:hint="cs"/>
          <w:spacing w:val="10"/>
          <w:sz w:val="22"/>
          <w:szCs w:val="28"/>
          <w:rtl/>
        </w:rPr>
        <w:t xml:space="preserve">בין מכוח הדין בין מכוח 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התחייבות שהמשיב 2 קיבל על עצמו - </w:t>
      </w:r>
      <w:r w:rsidR="00AA5184" w:rsidRPr="00FD13E3">
        <w:rPr>
          <w:rFonts w:ascii="Century" w:hAnsi="Century" w:cs="FrankRuehl" w:hint="cs"/>
          <w:spacing w:val="10"/>
          <w:sz w:val="22"/>
          <w:szCs w:val="28"/>
          <w:rtl/>
        </w:rPr>
        <w:t>כל עוד לא התקבלה החלטה אחרת.</w:t>
      </w:r>
    </w:p>
    <w:p w:rsidR="00AA5184" w:rsidRPr="00C03D84" w:rsidRDefault="00AA5184" w:rsidP="00AA5184">
      <w:pPr>
        <w:adjustRightInd/>
        <w:spacing w:after="240" w:line="360" w:lineRule="auto"/>
        <w:ind w:left="720"/>
        <w:jc w:val="both"/>
        <w:textAlignment w:val="auto"/>
        <w:rPr>
          <w:rFonts w:ascii="Century" w:hAnsi="Century" w:cs="FrankRuehl"/>
          <w:spacing w:val="10"/>
          <w:sz w:val="22"/>
          <w:szCs w:val="28"/>
        </w:rPr>
      </w:pP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כמו כן, 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יוסיפו המשיבים </w:t>
      </w:r>
      <w:r>
        <w:rPr>
          <w:rFonts w:ascii="Century" w:hAnsi="Century" w:cs="FrankRuehl" w:hint="cs"/>
          <w:spacing w:val="10"/>
          <w:sz w:val="22"/>
          <w:szCs w:val="28"/>
          <w:rtl/>
        </w:rPr>
        <w:t>ויתייחסו לטענתו החלופית של המשיב 2 לפיה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אין להחיל 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עליו 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מגבלות 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מסויימות 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>הכלולות בחוות הדעת</w:t>
      </w:r>
      <w:r>
        <w:rPr>
          <w:rFonts w:ascii="Century" w:hAnsi="Century" w:cs="FrankRuehl" w:hint="cs"/>
          <w:spacing w:val="10"/>
          <w:sz w:val="22"/>
          <w:szCs w:val="28"/>
          <w:rtl/>
        </w:rPr>
        <w:t>,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כמפורט בפרק ג' לתגובת 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המשיב 2 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מיום 6.11.2020.   </w:t>
      </w:r>
    </w:p>
    <w:p w:rsidR="00AA5184" w:rsidRPr="00FD13E3" w:rsidRDefault="00AA5184" w:rsidP="00FC2625">
      <w:pPr>
        <w:numPr>
          <w:ilvl w:val="0"/>
          <w:numId w:val="13"/>
        </w:numPr>
        <w:adjustRightInd/>
        <w:spacing w:after="240" w:line="360" w:lineRule="auto"/>
        <w:jc w:val="both"/>
        <w:textAlignment w:val="auto"/>
        <w:rPr>
          <w:rFonts w:ascii="Century" w:hAnsi="Century" w:cs="FrankRuehl"/>
          <w:spacing w:val="10"/>
          <w:sz w:val="22"/>
          <w:szCs w:val="28"/>
        </w:rPr>
      </w:pP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 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מדוע לא ייקבע כי </w:t>
      </w:r>
      <w:r>
        <w:rPr>
          <w:rFonts w:ascii="Century" w:hAnsi="Century" w:cs="FrankRuehl" w:hint="cs"/>
          <w:spacing w:val="10"/>
          <w:sz w:val="22"/>
          <w:szCs w:val="28"/>
          <w:rtl/>
        </w:rPr>
        <w:t>ככל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שחוות הדעת ניתנה בסמכות והיא מחייבת את המשיב </w:t>
      </w:r>
      <w:r>
        <w:rPr>
          <w:rFonts w:ascii="Century" w:hAnsi="Century" w:cs="FrankRuehl" w:hint="cs"/>
          <w:spacing w:val="10"/>
          <w:sz w:val="22"/>
          <w:szCs w:val="28"/>
          <w:rtl/>
        </w:rPr>
        <w:t>2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>, היא תחול</w:t>
      </w:r>
      <w:r>
        <w:rPr>
          <w:rFonts w:ascii="Century" w:hAnsi="Century" w:cs="FrankRuehl" w:hint="cs"/>
          <w:spacing w:val="10"/>
          <w:sz w:val="22"/>
          <w:szCs w:val="28"/>
          <w:rtl/>
        </w:rPr>
        <w:t>,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בשינויים המחויבים</w:t>
      </w:r>
      <w:r>
        <w:rPr>
          <w:rFonts w:ascii="Century" w:hAnsi="Century" w:cs="FrankRuehl" w:hint="cs"/>
          <w:spacing w:val="10"/>
          <w:sz w:val="22"/>
          <w:szCs w:val="28"/>
          <w:rtl/>
        </w:rPr>
        <w:t>,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גם ביחס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 ל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>שר לביטחון פנים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 (המשיב 3 בבג"ץ 3056/20 והמשיב 4 בבג"ץ 5920/20)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>, וזאת בכל הנוגע למינוי בעלי תפקידים במערכת המשפט וכן ביחס להחלטות שיש להן זיקה למשפטו הפלילי של ראש הממשלה</w:t>
      </w:r>
      <w:r w:rsidRPr="00FD13E3">
        <w:rPr>
          <w:rFonts w:ascii="Century" w:hAnsi="Century" w:cs="FrankRuehl" w:hint="cs"/>
          <w:spacing w:val="10"/>
          <w:sz w:val="22"/>
          <w:szCs w:val="28"/>
          <w:rtl/>
          <w:lang w:bidi="ar-SA"/>
        </w:rPr>
        <w:t>.</w:t>
      </w:r>
      <w:r w:rsidRPr="00FD13E3">
        <w:rPr>
          <w:rFonts w:ascii="Century" w:hAnsi="Century" w:cs="FrankRuehl" w:hint="cs"/>
          <w:spacing w:val="10"/>
          <w:sz w:val="22"/>
          <w:szCs w:val="28"/>
          <w:rtl/>
        </w:rPr>
        <w:t xml:space="preserve"> </w:t>
      </w:r>
    </w:p>
    <w:p w:rsidR="00AA5184" w:rsidRPr="00CA5FDA" w:rsidRDefault="00AA5184" w:rsidP="00AA5184">
      <w:pPr>
        <w:numPr>
          <w:ilvl w:val="0"/>
          <w:numId w:val="13"/>
        </w:numPr>
        <w:adjustRightInd/>
        <w:spacing w:after="240" w:line="360" w:lineRule="auto"/>
        <w:jc w:val="both"/>
        <w:textAlignment w:val="auto"/>
      </w:pP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>מדוע לא יינתן צו המורה למשיב 2 ולמשיב 3 בבג"ץ 5920/20 להשלים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 במהירות </w:t>
      </w:r>
      <w:r w:rsidR="00672D0F">
        <w:rPr>
          <w:rFonts w:ascii="Century" w:hAnsi="Century" w:cs="FrankRuehl" w:hint="cs"/>
          <w:spacing w:val="10"/>
          <w:sz w:val="22"/>
          <w:szCs w:val="28"/>
          <w:rtl/>
        </w:rPr>
        <w:t>ה</w:t>
      </w:r>
      <w:r>
        <w:rPr>
          <w:rFonts w:ascii="Century" w:hAnsi="Century" w:cs="FrankRuehl" w:hint="cs"/>
          <w:spacing w:val="10"/>
          <w:sz w:val="22"/>
          <w:szCs w:val="28"/>
          <w:rtl/>
        </w:rPr>
        <w:t>ראויה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את </w:t>
      </w:r>
      <w:r>
        <w:rPr>
          <w:rFonts w:ascii="Century" w:hAnsi="Century" w:cs="FrankRuehl" w:hint="cs"/>
          <w:spacing w:val="10"/>
          <w:sz w:val="22"/>
          <w:szCs w:val="28"/>
          <w:rtl/>
        </w:rPr>
        <w:t>ה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>מינויים של</w:t>
      </w:r>
      <w:r w:rsidRPr="00C03D84">
        <w:rPr>
          <w:rFonts w:ascii="Century" w:hAnsi="Century" w:cs="FrankRuehl" w:hint="cs"/>
          <w:spacing w:val="10"/>
          <w:sz w:val="22"/>
          <w:szCs w:val="28"/>
          <w:rtl/>
          <w:lang w:bidi="ar-SA"/>
        </w:rPr>
        <w:t xml:space="preserve"> 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כלל הבכירים בשירות הציבורי </w:t>
      </w:r>
      <w:r>
        <w:rPr>
          <w:rFonts w:ascii="Century" w:hAnsi="Century" w:cs="FrankRuehl" w:hint="cs"/>
          <w:spacing w:val="10"/>
          <w:sz w:val="22"/>
          <w:szCs w:val="28"/>
          <w:rtl/>
        </w:rPr>
        <w:t>ה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>טעו</w:t>
      </w:r>
      <w:r>
        <w:rPr>
          <w:rFonts w:ascii="Century" w:hAnsi="Century" w:cs="FrankRuehl" w:hint="cs"/>
          <w:spacing w:val="10"/>
          <w:sz w:val="22"/>
          <w:szCs w:val="28"/>
          <w:rtl/>
        </w:rPr>
        <w:t>נים</w:t>
      </w:r>
      <w:r w:rsidRPr="00C03D84">
        <w:rPr>
          <w:rFonts w:ascii="Century" w:hAnsi="Century" w:cs="FrankRuehl" w:hint="cs"/>
          <w:spacing w:val="10"/>
          <w:sz w:val="22"/>
          <w:szCs w:val="28"/>
          <w:rtl/>
        </w:rPr>
        <w:t xml:space="preserve"> אישור ממשלה, וזאת</w:t>
      </w:r>
      <w:r>
        <w:rPr>
          <w:rFonts w:ascii="Century" w:hAnsi="Century" w:cs="FrankRuehl" w:hint="cs"/>
          <w:spacing w:val="10"/>
          <w:sz w:val="22"/>
          <w:szCs w:val="28"/>
          <w:rtl/>
        </w:rPr>
        <w:t xml:space="preserve"> לא יאוחר מהמועד שעליו יצהירו ויאושר על ידי בית המשפט.</w:t>
      </w:r>
    </w:p>
    <w:p w:rsidR="008220F5" w:rsidRPr="00F61729" w:rsidRDefault="008220F5" w:rsidP="008220F5">
      <w:pPr>
        <w:adjustRightInd/>
        <w:spacing w:after="240" w:line="360" w:lineRule="auto"/>
        <w:ind w:left="360"/>
        <w:jc w:val="both"/>
        <w:textAlignment w:val="auto"/>
        <w:rPr>
          <w:rFonts w:cs="FrankRuehl"/>
          <w:sz w:val="28"/>
          <w:szCs w:val="28"/>
          <w:rtl/>
        </w:rPr>
      </w:pPr>
      <w:r>
        <w:rPr>
          <w:rtl/>
        </w:rPr>
        <w:tab/>
      </w:r>
      <w:r w:rsidRPr="00CA5FDA">
        <w:rPr>
          <w:rFonts w:cs="FrankRuehl" w:hint="cs"/>
          <w:sz w:val="28"/>
          <w:szCs w:val="28"/>
          <w:rtl/>
        </w:rPr>
        <w:t>תצהירי תשובה יוגשו בתוך 30 ימים.</w:t>
      </w:r>
    </w:p>
    <w:p w:rsidR="00310F18" w:rsidRDefault="00673FB3" w:rsidP="00FC2625">
      <w:pPr>
        <w:pStyle w:val="Ruller4"/>
        <w:ind w:left="360"/>
        <w:rPr>
          <w:rtl/>
        </w:rPr>
      </w:pPr>
      <w:r>
        <w:rPr>
          <w:rtl/>
        </w:rPr>
        <w:tab/>
      </w:r>
      <w:r w:rsidR="00310F18">
        <w:rPr>
          <w:rtl/>
        </w:rPr>
        <w:t xml:space="preserve">היום, </w:t>
      </w:r>
      <w:r w:rsidR="00FC2625">
        <w:rPr>
          <w:rFonts w:hint="cs"/>
          <w:rtl/>
        </w:rPr>
        <w:t>א'</w:t>
      </w:r>
      <w:r w:rsidR="00310F18">
        <w:rPr>
          <w:rtl/>
        </w:rPr>
        <w:t xml:space="preserve"> ב</w:t>
      </w:r>
      <w:r w:rsidR="00FC2625">
        <w:rPr>
          <w:rFonts w:hint="cs"/>
          <w:rtl/>
        </w:rPr>
        <w:t>כסלו</w:t>
      </w:r>
      <w:r w:rsidR="00310F18">
        <w:rPr>
          <w:rtl/>
        </w:rPr>
        <w:t xml:space="preserve"> התשפ"א (</w:t>
      </w:r>
      <w:r w:rsidR="00310F18">
        <w:rPr>
          <w:rFonts w:hint="eastAsia"/>
          <w:rtl/>
        </w:rPr>
        <w:t>‏</w:t>
      </w:r>
      <w:r w:rsidR="00310F18">
        <w:rPr>
          <w:rtl/>
        </w:rPr>
        <w:t>1</w:t>
      </w:r>
      <w:r w:rsidR="00FC2625">
        <w:rPr>
          <w:rFonts w:hint="cs"/>
          <w:rtl/>
        </w:rPr>
        <w:t>7</w:t>
      </w:r>
      <w:r w:rsidR="00310F18">
        <w:rPr>
          <w:rtl/>
        </w:rPr>
        <w:t>.11.2020).</w:t>
      </w:r>
    </w:p>
    <w:p w:rsidR="00310F18" w:rsidRDefault="00310F18" w:rsidP="00310F18">
      <w:pPr>
        <w:pStyle w:val="Ruller4"/>
        <w:ind w:left="360"/>
        <w:rPr>
          <w:rtl/>
        </w:rPr>
      </w:pPr>
    </w:p>
    <w:p w:rsidR="000D0AF2" w:rsidRDefault="000D0AF2" w:rsidP="00310F18">
      <w:pPr>
        <w:adjustRightInd/>
        <w:spacing w:after="240" w:line="360" w:lineRule="auto"/>
        <w:ind w:left="720"/>
        <w:jc w:val="both"/>
        <w:textAlignment w:val="auto"/>
        <w:rPr>
          <w:rtl/>
        </w:rPr>
      </w:pPr>
    </w:p>
    <w:p w:rsidR="00586A02" w:rsidRDefault="00586A02" w:rsidP="00586A02">
      <w:pPr>
        <w:pStyle w:val="Ruller4"/>
        <w:jc w:val="left"/>
        <w:rPr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עידית מלול</w:t>
      </w:r>
    </w:p>
    <w:p w:rsidR="00586A02" w:rsidRDefault="00586A02" w:rsidP="00586A02">
      <w:pPr>
        <w:pStyle w:val="Ruller4"/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מזכירה ראשית</w:t>
      </w:r>
    </w:p>
    <w:p w:rsidR="00586A02" w:rsidRDefault="00586A02" w:rsidP="00586A02">
      <w:pPr>
        <w:pStyle w:val="Ruller4"/>
        <w:jc w:val="left"/>
        <w:rPr>
          <w:rtl/>
        </w:rPr>
      </w:pPr>
    </w:p>
    <w:p w:rsidR="00586A02" w:rsidRDefault="00586A02" w:rsidP="000D0AF2">
      <w:pPr>
        <w:pStyle w:val="Ruller4"/>
        <w:rPr>
          <w:rtl/>
        </w:rPr>
      </w:pPr>
    </w:p>
    <w:p w:rsidR="000D0AF2" w:rsidRDefault="000D0AF2" w:rsidP="000D0AF2">
      <w:pPr>
        <w:rPr>
          <w:szCs w:val="16"/>
          <w:rtl/>
        </w:rPr>
      </w:pPr>
      <w:r>
        <w:rPr>
          <w:szCs w:val="16"/>
          <w:rtl/>
        </w:rPr>
        <w:t>_________________</w:t>
      </w:r>
      <w:r>
        <w:rPr>
          <w:rFonts w:hint="cs"/>
          <w:szCs w:val="16"/>
          <w:rtl/>
        </w:rPr>
        <w:t>________</w:t>
      </w:r>
    </w:p>
    <w:p w:rsidR="000D0AF2" w:rsidRDefault="000D0AF2" w:rsidP="000D0AF2">
      <w:pPr>
        <w:pStyle w:val="Ruller38"/>
        <w:rPr>
          <w:rtl/>
        </w:rPr>
      </w:pPr>
      <w:r>
        <w:rPr>
          <w:sz w:val="16"/>
        </w:rPr>
        <w:t xml:space="preserve">   20030560_V31.docx   </w:t>
      </w:r>
      <w:r>
        <w:rPr>
          <w:sz w:val="16"/>
          <w:rtl/>
        </w:rPr>
        <w:t>מב</w:t>
      </w:r>
    </w:p>
    <w:p w:rsidR="000D0AF2" w:rsidRPr="0058440A" w:rsidRDefault="000D0AF2" w:rsidP="000D0AF2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077-2703333, 3852* ; אתר אינטרנט,  </w:t>
      </w:r>
      <w:hyperlink r:id="rId10" w:history="1">
        <w:r w:rsidRPr="00CB1590">
          <w:rPr>
            <w:rStyle w:val="Hyperlink"/>
            <w:sz w:val="16"/>
          </w:rPr>
          <w:t>http://supreme.court.gov.i</w:t>
        </w:r>
      </w:hyperlink>
      <w:r w:rsidRPr="00CB1590">
        <w:rPr>
          <w:sz w:val="16"/>
        </w:rPr>
        <w:t>l</w:t>
      </w:r>
    </w:p>
    <w:p w:rsidR="000D0AF2" w:rsidRDefault="000D0AF2" w:rsidP="000D0AF2">
      <w:pPr>
        <w:pStyle w:val="Ruller38"/>
        <w:rPr>
          <w:rtl/>
        </w:rPr>
      </w:pPr>
    </w:p>
    <w:p w:rsidR="000D0AF2" w:rsidRDefault="000D0AF2" w:rsidP="00591983">
      <w:pPr>
        <w:pStyle w:val="Ruller38"/>
        <w:rPr>
          <w:rtl/>
        </w:rPr>
      </w:pPr>
    </w:p>
    <w:sectPr w:rsidR="000D0AF2" w:rsidSect="00591983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512" w:rsidRDefault="007F7512">
      <w:r>
        <w:separator/>
      </w:r>
    </w:p>
  </w:endnote>
  <w:endnote w:type="continuationSeparator" w:id="0">
    <w:p w:rsidR="007F7512" w:rsidRDefault="007F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TUR">
    <w:altName w:val="Arial"/>
    <w:charset w:val="00"/>
    <w:family w:val="swiss"/>
    <w:pitch w:val="variable"/>
    <w:sig w:usb0="E0002EFF" w:usb1="C0007843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3"/>
      <w:rPr>
        <w:rtl/>
      </w:rPr>
    </w:pPr>
  </w:p>
  <w:p w:rsidR="00377102" w:rsidRDefault="003771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7" w:name="footer_line"/>
    <w:bookmarkEnd w:id="7"/>
  </w:p>
  <w:p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512" w:rsidRDefault="007F7512">
      <w:r>
        <w:separator/>
      </w:r>
    </w:p>
  </w:footnote>
  <w:footnote w:type="continuationSeparator" w:id="0">
    <w:p w:rsidR="007F7512" w:rsidRDefault="007F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FC2625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:rsidTr="00EC23AC">
      <w:trPr>
        <w:trHeight w:val="342"/>
      </w:trPr>
      <w:tc>
        <w:tcPr>
          <w:tcW w:w="9828" w:type="dxa"/>
        </w:tcPr>
        <w:p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4D" w:rsidRDefault="00045B4D" w:rsidP="00045B4D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06702"/>
    <w:multiLevelType w:val="hybridMultilevel"/>
    <w:tmpl w:val="0736126A"/>
    <w:lvl w:ilvl="0" w:tplc="C2D02186">
      <w:start w:val="1"/>
      <w:numFmt w:val="hebrew1"/>
      <w:lvlText w:val="(%1)"/>
      <w:lvlJc w:val="left"/>
      <w:pPr>
        <w:ind w:left="720" w:hanging="360"/>
      </w:pPr>
      <w:rPr>
        <w:rFonts w:ascii="Century" w:hAnsi="Century" w:cs="FrankRueh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10"/>
        <w:w w:val="100"/>
        <w:kern w:val="0"/>
        <w:position w:val="0"/>
        <w:sz w:val="22"/>
        <w:szCs w:val="28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62167"/>
    <w:multiLevelType w:val="hybridMultilevel"/>
    <w:tmpl w:val="17A22364"/>
    <w:lvl w:ilvl="0" w:tplc="E0EA1E7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D615C"/>
    <w:multiLevelType w:val="hybridMultilevel"/>
    <w:tmpl w:val="0736126A"/>
    <w:lvl w:ilvl="0" w:tplc="C2D02186">
      <w:start w:val="1"/>
      <w:numFmt w:val="hebrew1"/>
      <w:lvlText w:val="(%1)"/>
      <w:lvlJc w:val="left"/>
      <w:pPr>
        <w:ind w:left="720" w:hanging="360"/>
      </w:pPr>
      <w:rPr>
        <w:rFonts w:ascii="Century" w:hAnsi="Century" w:cs="FrankRueh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10"/>
        <w:w w:val="100"/>
        <w:kern w:val="0"/>
        <w:position w:val="0"/>
        <w:sz w:val="22"/>
        <w:szCs w:val="28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725F5"/>
    <w:rsid w:val="00072AD2"/>
    <w:rsid w:val="000B1478"/>
    <w:rsid w:val="000C4690"/>
    <w:rsid w:val="000D0AF2"/>
    <w:rsid w:val="000D25C4"/>
    <w:rsid w:val="00134A67"/>
    <w:rsid w:val="001A0164"/>
    <w:rsid w:val="001A4090"/>
    <w:rsid w:val="00200D6B"/>
    <w:rsid w:val="002211DF"/>
    <w:rsid w:val="00261946"/>
    <w:rsid w:val="00265F6E"/>
    <w:rsid w:val="002876BF"/>
    <w:rsid w:val="002A4A7A"/>
    <w:rsid w:val="002A4BF3"/>
    <w:rsid w:val="002E4E9B"/>
    <w:rsid w:val="002F7BB6"/>
    <w:rsid w:val="00310F18"/>
    <w:rsid w:val="003448B2"/>
    <w:rsid w:val="00361DB2"/>
    <w:rsid w:val="0037622E"/>
    <w:rsid w:val="00377102"/>
    <w:rsid w:val="0039709B"/>
    <w:rsid w:val="003D72DA"/>
    <w:rsid w:val="003F1F97"/>
    <w:rsid w:val="0040068A"/>
    <w:rsid w:val="0041048F"/>
    <w:rsid w:val="00437D59"/>
    <w:rsid w:val="004610A4"/>
    <w:rsid w:val="004B29FF"/>
    <w:rsid w:val="004C7868"/>
    <w:rsid w:val="00503A3E"/>
    <w:rsid w:val="00527F02"/>
    <w:rsid w:val="005455A5"/>
    <w:rsid w:val="005803E2"/>
    <w:rsid w:val="0058440A"/>
    <w:rsid w:val="00586A02"/>
    <w:rsid w:val="00591983"/>
    <w:rsid w:val="00624A42"/>
    <w:rsid w:val="0065522F"/>
    <w:rsid w:val="00672D0F"/>
    <w:rsid w:val="00673FB3"/>
    <w:rsid w:val="006A30F7"/>
    <w:rsid w:val="006C42AD"/>
    <w:rsid w:val="00725345"/>
    <w:rsid w:val="00741CC0"/>
    <w:rsid w:val="007B512F"/>
    <w:rsid w:val="007F7512"/>
    <w:rsid w:val="00810894"/>
    <w:rsid w:val="008143AB"/>
    <w:rsid w:val="008220F5"/>
    <w:rsid w:val="0083345F"/>
    <w:rsid w:val="00836667"/>
    <w:rsid w:val="00866D0F"/>
    <w:rsid w:val="008C2F11"/>
    <w:rsid w:val="008D78B9"/>
    <w:rsid w:val="008E3F85"/>
    <w:rsid w:val="009051E8"/>
    <w:rsid w:val="00914156"/>
    <w:rsid w:val="00916FF8"/>
    <w:rsid w:val="00922093"/>
    <w:rsid w:val="00930C85"/>
    <w:rsid w:val="0096165E"/>
    <w:rsid w:val="009B38DA"/>
    <w:rsid w:val="009F2F53"/>
    <w:rsid w:val="009F4187"/>
    <w:rsid w:val="00A12E0F"/>
    <w:rsid w:val="00A51FAE"/>
    <w:rsid w:val="00A80845"/>
    <w:rsid w:val="00AA5184"/>
    <w:rsid w:val="00AB69F7"/>
    <w:rsid w:val="00AD097B"/>
    <w:rsid w:val="00AD64B9"/>
    <w:rsid w:val="00AE022B"/>
    <w:rsid w:val="00B009CC"/>
    <w:rsid w:val="00B0782A"/>
    <w:rsid w:val="00B26298"/>
    <w:rsid w:val="00B62B8C"/>
    <w:rsid w:val="00B63343"/>
    <w:rsid w:val="00B87FF7"/>
    <w:rsid w:val="00BA0B08"/>
    <w:rsid w:val="00BA1CE1"/>
    <w:rsid w:val="00BC0E82"/>
    <w:rsid w:val="00BD40F9"/>
    <w:rsid w:val="00C03D84"/>
    <w:rsid w:val="00C41C86"/>
    <w:rsid w:val="00C63A6C"/>
    <w:rsid w:val="00CA13AF"/>
    <w:rsid w:val="00CA1444"/>
    <w:rsid w:val="00CA5FDA"/>
    <w:rsid w:val="00CB1590"/>
    <w:rsid w:val="00CB16D5"/>
    <w:rsid w:val="00CB7600"/>
    <w:rsid w:val="00CC0E9D"/>
    <w:rsid w:val="00CC3639"/>
    <w:rsid w:val="00D00B1D"/>
    <w:rsid w:val="00D00CB7"/>
    <w:rsid w:val="00D25F16"/>
    <w:rsid w:val="00DA621B"/>
    <w:rsid w:val="00E21CA9"/>
    <w:rsid w:val="00E31063"/>
    <w:rsid w:val="00E36FE9"/>
    <w:rsid w:val="00E73E98"/>
    <w:rsid w:val="00E75223"/>
    <w:rsid w:val="00E90D72"/>
    <w:rsid w:val="00EA0BE1"/>
    <w:rsid w:val="00EC23AC"/>
    <w:rsid w:val="00EC2992"/>
    <w:rsid w:val="00ED46A4"/>
    <w:rsid w:val="00ED6FD9"/>
    <w:rsid w:val="00EE3810"/>
    <w:rsid w:val="00F4195A"/>
    <w:rsid w:val="00F61729"/>
    <w:rsid w:val="00F63C3B"/>
    <w:rsid w:val="00F959DB"/>
    <w:rsid w:val="00FC2625"/>
    <w:rsid w:val="00FD0BE7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84785-C44C-46CE-80AC-074608D1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link w:val="Ruller40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  <w:style w:type="paragraph" w:styleId="ae">
    <w:name w:val="List Paragraph"/>
    <w:basedOn w:val="a"/>
    <w:uiPriority w:val="34"/>
    <w:qFormat/>
    <w:rsid w:val="00C03D84"/>
    <w:pPr>
      <w:ind w:left="720"/>
      <w:contextualSpacing/>
    </w:pPr>
  </w:style>
  <w:style w:type="character" w:customStyle="1" w:styleId="Ruller40">
    <w:name w:val="Ruller4 תו"/>
    <w:link w:val="Ruller4"/>
    <w:locked/>
    <w:rsid w:val="00C03D84"/>
    <w:rPr>
      <w:rFonts w:ascii="Arial TUR" w:hAnsi="Arial TUR" w:cs="FrankRuehl"/>
      <w:spacing w:val="1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eader" Target="header2.xml" /><Relationship Id="rId17" Type="http://schemas.openxmlformats.org/officeDocument/2006/relationships/theme" Target="theme/theme1.xml" /><Relationship Id="rId2" Type="http://schemas.openxmlformats.org/officeDocument/2006/relationships/customXml" Target="../customXml/item1.xml" /><Relationship Id="rId16" Type="http://schemas.openxmlformats.org/officeDocument/2006/relationships/fontTable" Target="fontTable.xml" /><Relationship Id="rId1" Type="http://schemas.microsoft.com/office/2006/relationships/keyMapCustomizations" Target="customizations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5" Type="http://schemas.openxmlformats.org/officeDocument/2006/relationships/footer" Target="footer2.xml" /><Relationship Id="rId10" Type="http://schemas.openxmlformats.org/officeDocument/2006/relationships/hyperlink" Target="http://supreme.court.gov.il/" TargetMode="External" /><Relationship Id="rId4" Type="http://schemas.openxmlformats.org/officeDocument/2006/relationships/styles" Target="styles.xml" /><Relationship Id="rId9" Type="http://schemas.openxmlformats.org/officeDocument/2006/relationships/hyperlink" Target="http://supreme.court.gov.il/" TargetMode="External" /><Relationship Id="rId14" Type="http://schemas.openxmlformats.org/officeDocument/2006/relationships/header" Target="header3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DCDF-A653-4B10-AD48-9CF6DB6796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החלטה בתיק בג"ץ  3056/20</vt:lpstr>
    </vt:vector>
  </TitlesOfParts>
  <Company>supreme court of israel</Company>
  <LinksUpToDate>false</LinksUpToDate>
  <CharactersWithSpaces>4047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החלטה בתיק בג"ץ  3056/20</dc:title>
  <dc:subject/>
  <dc:creator>Administrator</dc:creator>
  <cp:keywords/>
  <dc:description/>
  <cp:lastModifiedBy>משתמש אורח</cp:lastModifiedBy>
  <cp:revision>2</cp:revision>
  <cp:lastPrinted>2020-11-16T12:07:00Z</cp:lastPrinted>
  <dcterms:created xsi:type="dcterms:W3CDTF">2020-11-17T09:08:00Z</dcterms:created>
  <dcterms:modified xsi:type="dcterms:W3CDTF">2020-11-17T09:08:00Z</dcterms:modified>
</cp:coreProperties>
</file>