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9E" w:rsidRPr="00C0549E" w:rsidRDefault="00C0549E" w:rsidP="00C0549E">
      <w:pPr>
        <w:tabs>
          <w:tab w:val="left" w:pos="800"/>
        </w:tabs>
        <w:jc w:val="center"/>
        <w:rPr>
          <w:rFonts w:ascii="Arial TUR" w:hAnsi="Arial TUR" w:cs="David"/>
          <w:b/>
          <w:bCs/>
          <w:color w:val="000080"/>
          <w:sz w:val="28"/>
          <w:szCs w:val="32"/>
          <w:rtl/>
        </w:rPr>
      </w:pPr>
      <w:bookmarkStart w:id="0" w:name="_GoBack"/>
      <w:bookmarkEnd w:id="0"/>
      <w:r w:rsidRPr="00C0549E">
        <w:rPr>
          <w:rFonts w:ascii="Arial TUR" w:hAnsi="Arial TUR" w:cs="David"/>
          <w:b/>
          <w:bCs/>
          <w:color w:val="000080"/>
          <w:spacing w:val="6"/>
          <w:sz w:val="28"/>
          <w:szCs w:val="32"/>
          <w:rtl/>
        </w:rPr>
        <w:t>בית המשפט העליון</w:t>
      </w:r>
      <w:r w:rsidRPr="00C0549E">
        <w:rPr>
          <w:rFonts w:ascii="Arial TUR" w:hAnsi="Arial TUR" w:cs="David" w:hint="cs"/>
          <w:b/>
          <w:bCs/>
          <w:color w:val="000080"/>
          <w:sz w:val="28"/>
          <w:szCs w:val="32"/>
          <w:rtl/>
        </w:rPr>
        <w:t xml:space="preserve"> </w:t>
      </w:r>
    </w:p>
    <w:p w:rsidR="004E6A4C" w:rsidRDefault="00C0549E" w:rsidP="00285C4A">
      <w:pPr>
        <w:tabs>
          <w:tab w:val="left" w:pos="800"/>
        </w:tabs>
        <w:jc w:val="center"/>
        <w:rPr>
          <w:rFonts w:ascii="Arial TUR" w:hAnsi="Arial TUR" w:cs="David"/>
          <w:b/>
          <w:bCs/>
          <w:color w:val="000080"/>
          <w:sz w:val="28"/>
          <w:szCs w:val="32"/>
          <w:u w:val="single"/>
          <w:rtl/>
        </w:rPr>
      </w:pPr>
      <w:r w:rsidRPr="00C0549E">
        <w:rPr>
          <w:rFonts w:ascii="Arial TUR" w:hAnsi="Arial TUR" w:cs="David" w:hint="cs"/>
          <w:b/>
          <w:bCs/>
          <w:color w:val="000080"/>
          <w:sz w:val="28"/>
          <w:szCs w:val="32"/>
          <w:u w:val="single"/>
          <w:rtl/>
        </w:rPr>
        <w:t>הודעה לתקשורת</w:t>
      </w:r>
      <w:r>
        <w:rPr>
          <w:rFonts w:ascii="Arial TUR" w:hAnsi="Arial TUR" w:cs="David" w:hint="cs"/>
          <w:b/>
          <w:bCs/>
          <w:color w:val="000080"/>
          <w:sz w:val="28"/>
          <w:szCs w:val="32"/>
          <w:u w:val="single"/>
          <w:rtl/>
        </w:rPr>
        <w:t xml:space="preserve"> </w:t>
      </w:r>
      <w:r>
        <w:rPr>
          <w:rFonts w:ascii="Arial TUR" w:hAnsi="Arial TUR" w:cs="David"/>
          <w:b/>
          <w:bCs/>
          <w:color w:val="000080"/>
          <w:sz w:val="28"/>
          <w:szCs w:val="32"/>
          <w:u w:val="single"/>
          <w:rtl/>
        </w:rPr>
        <w:t>–</w:t>
      </w:r>
      <w:r w:rsidR="00892FEB">
        <w:rPr>
          <w:rFonts w:ascii="Arial TUR" w:hAnsi="Arial TUR" w:cs="David" w:hint="cs"/>
          <w:b/>
          <w:bCs/>
          <w:color w:val="000080"/>
          <w:sz w:val="28"/>
          <w:szCs w:val="32"/>
          <w:u w:val="single"/>
          <w:rtl/>
        </w:rPr>
        <w:t xml:space="preserve"> </w:t>
      </w:r>
      <w:r w:rsidR="008B4F4F">
        <w:rPr>
          <w:rFonts w:ascii="Arial TUR" w:hAnsi="Arial TUR" w:cs="David" w:hint="cs"/>
          <w:b/>
          <w:bCs/>
          <w:color w:val="000080"/>
          <w:sz w:val="28"/>
          <w:szCs w:val="32"/>
          <w:u w:val="single"/>
          <w:rtl/>
        </w:rPr>
        <w:t xml:space="preserve">תמצית נימוקי </w:t>
      </w:r>
      <w:r w:rsidR="00892FEB">
        <w:rPr>
          <w:rFonts w:ascii="Arial TUR" w:hAnsi="Arial TUR" w:cs="David" w:hint="cs"/>
          <w:b/>
          <w:bCs/>
          <w:color w:val="000080"/>
          <w:sz w:val="28"/>
          <w:szCs w:val="32"/>
          <w:u w:val="single"/>
          <w:rtl/>
        </w:rPr>
        <w:t xml:space="preserve">פסק </w:t>
      </w:r>
      <w:r>
        <w:rPr>
          <w:rFonts w:ascii="Arial TUR" w:hAnsi="Arial TUR" w:cs="David" w:hint="cs"/>
          <w:b/>
          <w:bCs/>
          <w:color w:val="000080"/>
          <w:sz w:val="28"/>
          <w:szCs w:val="32"/>
          <w:u w:val="single"/>
          <w:rtl/>
        </w:rPr>
        <w:t xml:space="preserve">דין </w:t>
      </w:r>
    </w:p>
    <w:p w:rsidR="008B4F4F" w:rsidRDefault="008B4F4F" w:rsidP="008B4F4F">
      <w:pPr>
        <w:tabs>
          <w:tab w:val="left" w:pos="800"/>
        </w:tabs>
        <w:jc w:val="center"/>
        <w:rPr>
          <w:rFonts w:ascii="Arial TUR" w:hAnsi="Arial TUR" w:cs="David"/>
          <w:b/>
          <w:bCs/>
          <w:color w:val="000080"/>
          <w:sz w:val="26"/>
          <w:szCs w:val="28"/>
          <w:u w:val="single"/>
          <w:rtl/>
        </w:rPr>
      </w:pPr>
      <w:r>
        <w:rPr>
          <w:rFonts w:ascii="Arial TUR" w:hAnsi="Arial TUR" w:cs="David" w:hint="cs"/>
          <w:b/>
          <w:bCs/>
          <w:color w:val="000080"/>
          <w:sz w:val="26"/>
          <w:szCs w:val="28"/>
          <w:u w:val="single"/>
          <w:rtl/>
        </w:rPr>
        <w:t xml:space="preserve">בשמונה העתירות בעניין הרכבת הממשלה ה-35 של מדינת ישראל </w:t>
      </w:r>
    </w:p>
    <w:p w:rsidR="00D5338B" w:rsidRPr="00D5338B" w:rsidRDefault="008B4F4F" w:rsidP="008B4F4F">
      <w:pPr>
        <w:tabs>
          <w:tab w:val="left" w:pos="800"/>
        </w:tabs>
        <w:jc w:val="center"/>
        <w:rPr>
          <w:rFonts w:ascii="Arial TUR" w:hAnsi="Arial TUR" w:cs="David"/>
          <w:b/>
          <w:bCs/>
          <w:color w:val="000080"/>
          <w:sz w:val="26"/>
          <w:szCs w:val="28"/>
          <w:u w:val="single"/>
          <w:rtl/>
        </w:rPr>
      </w:pPr>
      <w:r>
        <w:rPr>
          <w:rFonts w:ascii="Arial TUR" w:hAnsi="Arial TUR" w:cs="David" w:hint="cs"/>
          <w:b/>
          <w:bCs/>
          <w:color w:val="000080"/>
          <w:sz w:val="26"/>
          <w:szCs w:val="28"/>
          <w:u w:val="single"/>
          <w:rtl/>
        </w:rPr>
        <w:t>(בג"ץ 2592/20; בג"ץ 2593/20; בג"ץ 2594/20; בג"ץ 2609/20; בג"ץ 2612/20; בג"ץ 2649/20; בג"ץ 2675/20; בג"ץ 2677/20)</w:t>
      </w:r>
    </w:p>
    <w:p w:rsidR="00D5338B" w:rsidRDefault="00D5338B" w:rsidP="00285C4A">
      <w:pPr>
        <w:pStyle w:val="Ruller41"/>
        <w:spacing w:line="240" w:lineRule="auto"/>
        <w:rPr>
          <w:rFonts w:ascii="David" w:hAnsi="David" w:cs="David"/>
          <w:b/>
          <w:bCs/>
          <w:sz w:val="24"/>
          <w:szCs w:val="24"/>
          <w:u w:val="single"/>
          <w:rtl/>
        </w:rPr>
      </w:pPr>
    </w:p>
    <w:p w:rsidR="00285C4A" w:rsidRDefault="00285C4A" w:rsidP="008B4F4F">
      <w:pPr>
        <w:pStyle w:val="Ruller41"/>
        <w:spacing w:line="240" w:lineRule="auto"/>
        <w:rPr>
          <w:rFonts w:ascii="David" w:hAnsi="David" w:cs="David"/>
          <w:sz w:val="24"/>
          <w:szCs w:val="24"/>
          <w:rtl/>
        </w:rPr>
      </w:pPr>
      <w:r w:rsidRPr="00B32136">
        <w:rPr>
          <w:rFonts w:ascii="David" w:hAnsi="David" w:cs="David"/>
          <w:b/>
          <w:bCs/>
          <w:sz w:val="24"/>
          <w:szCs w:val="24"/>
          <w:u w:val="single"/>
          <w:rtl/>
        </w:rPr>
        <w:t>שופטי ההרכב</w:t>
      </w:r>
      <w:r w:rsidRPr="00B2059E">
        <w:rPr>
          <w:rFonts w:ascii="David" w:hAnsi="David" w:cs="David"/>
          <w:sz w:val="24"/>
          <w:szCs w:val="24"/>
          <w:rtl/>
        </w:rPr>
        <w:t xml:space="preserve">: </w:t>
      </w:r>
      <w:r w:rsidR="008B4F4F">
        <w:rPr>
          <w:rFonts w:ascii="David" w:hAnsi="David" w:cs="David" w:hint="cs"/>
          <w:sz w:val="24"/>
          <w:szCs w:val="24"/>
          <w:rtl/>
        </w:rPr>
        <w:t>הנשיאה א' חיות; המשנה לנשיאה ח' מלצר; השופט נ' הנדל; השופט ע' פוגלמן; השופט י' עמית; השופט נ' סולברג; השופטת ד' ברק-ארז; השופט מ' מזוז; השופטת ע' ברון; השופט ג' קרא; השופט ד' מינץ</w:t>
      </w:r>
    </w:p>
    <w:p w:rsidR="00285C4A" w:rsidRDefault="00285C4A" w:rsidP="00285C4A">
      <w:pPr>
        <w:pStyle w:val="Ruller41"/>
        <w:rPr>
          <w:rFonts w:ascii="David" w:hAnsi="David" w:cs="David"/>
          <w:sz w:val="24"/>
          <w:szCs w:val="24"/>
          <w:rtl/>
        </w:rPr>
      </w:pPr>
    </w:p>
    <w:p w:rsidR="00D5338B" w:rsidRPr="00D5338B" w:rsidRDefault="00D5338B" w:rsidP="008776C8">
      <w:pPr>
        <w:pStyle w:val="Ruller41"/>
        <w:pBdr>
          <w:top w:val="single" w:sz="4" w:space="1" w:color="auto"/>
          <w:left w:val="single" w:sz="4" w:space="4" w:color="auto"/>
          <w:bottom w:val="single" w:sz="4" w:space="1" w:color="auto"/>
          <w:right w:val="single" w:sz="4" w:space="4" w:color="auto"/>
          <w:between w:val="single" w:sz="4" w:space="1" w:color="auto"/>
          <w:bar w:val="single" w:sz="4" w:color="auto"/>
        </w:pBdr>
        <w:rPr>
          <w:rFonts w:ascii="David" w:hAnsi="David" w:cs="David"/>
          <w:b/>
          <w:bCs/>
          <w:sz w:val="28"/>
        </w:rPr>
      </w:pPr>
      <w:r w:rsidRPr="00D5338B">
        <w:rPr>
          <w:rFonts w:ascii="David" w:hAnsi="David" w:cs="David" w:hint="cs"/>
          <w:b/>
          <w:bCs/>
          <w:sz w:val="28"/>
          <w:rtl/>
        </w:rPr>
        <w:t xml:space="preserve">בית המשפט העליון </w:t>
      </w:r>
      <w:r w:rsidR="008B4F4F" w:rsidRPr="008B4F4F">
        <w:rPr>
          <w:rFonts w:ascii="David" w:hAnsi="David" w:cs="David" w:hint="cs"/>
          <w:b/>
          <w:bCs/>
          <w:sz w:val="28"/>
          <w:rtl/>
        </w:rPr>
        <w:t>פרסם את תמצית הנימוקים</w:t>
      </w:r>
      <w:r w:rsidR="008B4F4F">
        <w:rPr>
          <w:rFonts w:ascii="David" w:hAnsi="David" w:cs="David" w:hint="cs"/>
          <w:b/>
          <w:bCs/>
          <w:sz w:val="28"/>
          <w:rtl/>
        </w:rPr>
        <w:t xml:space="preserve"> של פסק הדין</w:t>
      </w:r>
      <w:r w:rsidR="008B4F4F" w:rsidRPr="008B4F4F">
        <w:rPr>
          <w:rFonts w:ascii="David" w:hAnsi="David" w:cs="David" w:hint="cs"/>
          <w:b/>
          <w:bCs/>
          <w:sz w:val="28"/>
          <w:rtl/>
        </w:rPr>
        <w:t xml:space="preserve"> </w:t>
      </w:r>
      <w:r w:rsidR="008B4F4F">
        <w:rPr>
          <w:rFonts w:ascii="David" w:hAnsi="David" w:cs="David" w:hint="cs"/>
          <w:b/>
          <w:bCs/>
          <w:sz w:val="28"/>
          <w:rtl/>
        </w:rPr>
        <w:t xml:space="preserve">בעתירות בעניין הרכבת הממשלה ה-35 וקבע פה אחד כי אין עילה משפטית </w:t>
      </w:r>
      <w:r w:rsidR="008776C8">
        <w:rPr>
          <w:rFonts w:ascii="David" w:hAnsi="David" w:cs="David" w:hint="cs"/>
          <w:b/>
          <w:bCs/>
          <w:sz w:val="28"/>
          <w:rtl/>
        </w:rPr>
        <w:t>להתערב ב</w:t>
      </w:r>
      <w:r w:rsidR="008B4F4F">
        <w:rPr>
          <w:rFonts w:ascii="David" w:hAnsi="David" w:cs="David" w:hint="cs"/>
          <w:b/>
          <w:bCs/>
          <w:sz w:val="28"/>
          <w:rtl/>
        </w:rPr>
        <w:t>הטלת הרכבת המ</w:t>
      </w:r>
      <w:r w:rsidR="008776C8">
        <w:rPr>
          <w:rFonts w:ascii="David" w:hAnsi="David" w:cs="David" w:hint="cs"/>
          <w:b/>
          <w:bCs/>
          <w:sz w:val="28"/>
          <w:rtl/>
        </w:rPr>
        <w:t>משלה על חבר הכנסת בנימין נתניהו</w:t>
      </w:r>
      <w:r w:rsidR="008B4F4F">
        <w:rPr>
          <w:rFonts w:ascii="David" w:hAnsi="David" w:cs="David" w:hint="cs"/>
          <w:b/>
          <w:bCs/>
          <w:sz w:val="28"/>
          <w:rtl/>
        </w:rPr>
        <w:t xml:space="preserve">. עוד נפסק פה אחד כי אף שההסכם הקואליציוני בין סיעת כחול לבן וסיעת הליכוד מיום 20.4.2020 מעורר קשיים משפטיים לא מבוטלים, לעת הזו אין מקום להתערב באיזה מסעיפיו, וזאת בין היתר בהינתן התיקונים וההבהרות שמסרו ראש הממשלה וסיעות כחול לבן והליכוד. </w:t>
      </w:r>
    </w:p>
    <w:p w:rsidR="008B4F4F" w:rsidRDefault="008B4F4F" w:rsidP="008B4F4F">
      <w:pPr>
        <w:pStyle w:val="Ruller41"/>
        <w:rPr>
          <w:rFonts w:ascii="David" w:hAnsi="David" w:cs="David"/>
          <w:sz w:val="24"/>
          <w:szCs w:val="24"/>
          <w:rtl/>
        </w:rPr>
      </w:pPr>
    </w:p>
    <w:p w:rsidR="008B4F4F" w:rsidRDefault="008B4F4F" w:rsidP="00BC2AAA">
      <w:pPr>
        <w:pStyle w:val="Ruller41"/>
        <w:rPr>
          <w:rFonts w:ascii="David" w:hAnsi="David" w:cs="David"/>
          <w:sz w:val="24"/>
          <w:szCs w:val="24"/>
          <w:rtl/>
        </w:rPr>
      </w:pPr>
      <w:r>
        <w:rPr>
          <w:rFonts w:ascii="David" w:hAnsi="David" w:cs="David" w:hint="cs"/>
          <w:sz w:val="24"/>
          <w:szCs w:val="24"/>
          <w:rtl/>
        </w:rPr>
        <w:t xml:space="preserve">בית המשפט העליון פרסם </w:t>
      </w:r>
      <w:r w:rsidR="00BC2AAA">
        <w:rPr>
          <w:rFonts w:ascii="David" w:hAnsi="David" w:cs="David" w:hint="cs"/>
          <w:sz w:val="24"/>
          <w:szCs w:val="24"/>
          <w:rtl/>
        </w:rPr>
        <w:t xml:space="preserve">הערב </w:t>
      </w:r>
      <w:r>
        <w:rPr>
          <w:rFonts w:ascii="David" w:hAnsi="David" w:cs="David" w:hint="cs"/>
          <w:sz w:val="24"/>
          <w:szCs w:val="24"/>
          <w:rtl/>
        </w:rPr>
        <w:t xml:space="preserve">את תמצית הנימוקים </w:t>
      </w:r>
      <w:r w:rsidRPr="008776C8">
        <w:rPr>
          <w:rFonts w:ascii="David" w:hAnsi="David" w:cs="David" w:hint="cs"/>
          <w:sz w:val="24"/>
          <w:szCs w:val="24"/>
          <w:rtl/>
        </w:rPr>
        <w:t>בפסק הדין בשמונה העתירות בהן דן בימים 3.</w:t>
      </w:r>
      <w:r w:rsidR="009F5BEE" w:rsidRPr="008776C8">
        <w:rPr>
          <w:rFonts w:ascii="David" w:hAnsi="David" w:cs="David" w:hint="cs"/>
          <w:sz w:val="24"/>
          <w:szCs w:val="24"/>
          <w:rtl/>
        </w:rPr>
        <w:t xml:space="preserve">5.2020 ו-4.5.2020 העוסקות בשתי שאלות עיקריות: (1) </w:t>
      </w:r>
      <w:r w:rsidRPr="008776C8">
        <w:rPr>
          <w:rFonts w:ascii="David" w:hAnsi="David" w:cs="David" w:hint="cs"/>
          <w:sz w:val="24"/>
          <w:szCs w:val="24"/>
          <w:rtl/>
        </w:rPr>
        <w:t xml:space="preserve"> האם ניתן להטיל את מלאכת הרכבת ממשלה בישראל על חבר כנסת אשר הוגש נגדו כתב אישום בעבירות על טוהר המידות? </w:t>
      </w:r>
      <w:r w:rsidR="009F5BEE" w:rsidRPr="008776C8">
        <w:rPr>
          <w:rFonts w:ascii="David" w:hAnsi="David" w:cs="David" w:hint="cs"/>
          <w:sz w:val="24"/>
          <w:szCs w:val="24"/>
          <w:rtl/>
        </w:rPr>
        <w:t xml:space="preserve">(2) </w:t>
      </w:r>
      <w:r w:rsidRPr="008776C8">
        <w:rPr>
          <w:rFonts w:ascii="David" w:hAnsi="David" w:cs="David" w:hint="cs"/>
          <w:sz w:val="24"/>
          <w:szCs w:val="24"/>
          <w:rtl/>
        </w:rPr>
        <w:t>האם ההסכם הקואליציוני שנחתם ביום 20.4.2020 בין סיעת הליכוד לסיעת כחול לבן נוגד עקרונות חוקתיים וחוקיים והאם הוא סותר את תקנת הציבור עד כי יש להורות על בטלותו או על בטלות חלק מסעיפיו?</w:t>
      </w:r>
      <w:r w:rsidRPr="008B4F4F">
        <w:rPr>
          <w:rFonts w:ascii="David" w:hAnsi="David" w:cs="David" w:hint="cs"/>
          <w:sz w:val="24"/>
          <w:szCs w:val="24"/>
          <w:rtl/>
        </w:rPr>
        <w:t xml:space="preserve"> </w:t>
      </w:r>
    </w:p>
    <w:p w:rsidR="009F5BEE" w:rsidRPr="000B0916" w:rsidRDefault="009F5BEE" w:rsidP="00BC2AAA">
      <w:pPr>
        <w:pStyle w:val="Ruller41"/>
        <w:rPr>
          <w:rFonts w:ascii="David" w:hAnsi="David" w:cs="David"/>
          <w:sz w:val="20"/>
          <w:szCs w:val="20"/>
          <w:rtl/>
        </w:rPr>
      </w:pPr>
    </w:p>
    <w:p w:rsidR="009F5BEE" w:rsidRPr="000B311B" w:rsidRDefault="009F5BEE" w:rsidP="00B54E9D">
      <w:pPr>
        <w:pStyle w:val="Ruller41"/>
        <w:rPr>
          <w:rFonts w:ascii="David" w:hAnsi="David" w:cs="David"/>
          <w:sz w:val="24"/>
          <w:szCs w:val="24"/>
          <w:rtl/>
        </w:rPr>
      </w:pPr>
      <w:r w:rsidRPr="000B311B">
        <w:rPr>
          <w:rFonts w:ascii="David" w:hAnsi="David" w:cs="David"/>
          <w:sz w:val="24"/>
          <w:szCs w:val="24"/>
          <w:rtl/>
        </w:rPr>
        <w:t xml:space="preserve">בשל סד הזמנים שאינו מאפשר מתן פסק דין מלא, ניתנה </w:t>
      </w:r>
      <w:r w:rsidRPr="000B311B">
        <w:rPr>
          <w:rFonts w:ascii="David" w:hAnsi="David" w:cs="David" w:hint="cs"/>
          <w:sz w:val="24"/>
          <w:szCs w:val="24"/>
          <w:rtl/>
        </w:rPr>
        <w:t xml:space="preserve">בשלב זה </w:t>
      </w:r>
      <w:r w:rsidRPr="000B311B">
        <w:rPr>
          <w:rFonts w:ascii="David" w:hAnsi="David" w:cs="David"/>
          <w:sz w:val="24"/>
          <w:szCs w:val="24"/>
          <w:rtl/>
        </w:rPr>
        <w:t xml:space="preserve">תמצית פסק הדין בלבד, הכוללת את התוצאה האופרטיבית שאליה הגיע הרכב השופטים פה אחד, </w:t>
      </w:r>
      <w:r w:rsidR="00B54E9D" w:rsidRPr="000B311B">
        <w:rPr>
          <w:rFonts w:ascii="David" w:hAnsi="David" w:cs="David" w:hint="cs"/>
          <w:sz w:val="24"/>
          <w:szCs w:val="24"/>
          <w:rtl/>
        </w:rPr>
        <w:t xml:space="preserve"> ותמצית/עיקר הנימוקים, </w:t>
      </w:r>
      <w:r w:rsidRPr="000B311B">
        <w:rPr>
          <w:rFonts w:ascii="David" w:hAnsi="David" w:cs="David"/>
          <w:sz w:val="24"/>
          <w:szCs w:val="24"/>
          <w:rtl/>
        </w:rPr>
        <w:t xml:space="preserve">ובמועד </w:t>
      </w:r>
      <w:r w:rsidRPr="000B311B">
        <w:rPr>
          <w:rFonts w:ascii="David" w:hAnsi="David" w:cs="David"/>
          <w:sz w:val="24"/>
          <w:szCs w:val="24"/>
          <w:rtl/>
        </w:rPr>
        <w:lastRenderedPageBreak/>
        <w:t xml:space="preserve">מאוחר יותר יינתן פסק דין משלים ובו נימוקים מפורטים </w:t>
      </w:r>
      <w:r w:rsidR="00B54E9D" w:rsidRPr="000B311B">
        <w:rPr>
          <w:rFonts w:ascii="David" w:hAnsi="David" w:cs="David" w:hint="eastAsia"/>
          <w:sz w:val="24"/>
          <w:szCs w:val="24"/>
          <w:rtl/>
        </w:rPr>
        <w:t>והערות</w:t>
      </w:r>
      <w:r w:rsidR="00B54E9D" w:rsidRPr="000B311B">
        <w:rPr>
          <w:rFonts w:ascii="David" w:hAnsi="David" w:cs="David"/>
          <w:sz w:val="24"/>
          <w:szCs w:val="24"/>
          <w:rtl/>
        </w:rPr>
        <w:t xml:space="preserve"> </w:t>
      </w:r>
      <w:r w:rsidRPr="000B311B">
        <w:rPr>
          <w:rFonts w:ascii="David" w:hAnsi="David" w:cs="David"/>
          <w:sz w:val="24"/>
          <w:szCs w:val="24"/>
          <w:rtl/>
        </w:rPr>
        <w:t xml:space="preserve">שייכתבו על ידי </w:t>
      </w:r>
      <w:r w:rsidR="008776C8" w:rsidRPr="000B311B">
        <w:rPr>
          <w:rFonts w:ascii="David" w:hAnsi="David" w:cs="David" w:hint="cs"/>
          <w:sz w:val="24"/>
          <w:szCs w:val="24"/>
          <w:rtl/>
        </w:rPr>
        <w:t>מי מ</w:t>
      </w:r>
      <w:r w:rsidRPr="000B311B">
        <w:rPr>
          <w:rFonts w:ascii="David" w:hAnsi="David" w:cs="David"/>
          <w:sz w:val="24"/>
          <w:szCs w:val="24"/>
          <w:rtl/>
        </w:rPr>
        <w:t>השופטים</w:t>
      </w:r>
      <w:r w:rsidR="008776C8" w:rsidRPr="000B311B">
        <w:rPr>
          <w:rFonts w:ascii="David" w:hAnsi="David" w:cs="David" w:hint="cs"/>
          <w:sz w:val="24"/>
          <w:szCs w:val="24"/>
          <w:rtl/>
        </w:rPr>
        <w:t xml:space="preserve"> שימצא זאת לנכון</w:t>
      </w:r>
      <w:r w:rsidRPr="000B311B">
        <w:rPr>
          <w:rFonts w:ascii="David" w:hAnsi="David" w:cs="David"/>
          <w:sz w:val="24"/>
          <w:szCs w:val="24"/>
          <w:rtl/>
        </w:rPr>
        <w:t xml:space="preserve"> – כל אחד וטעמיו.</w:t>
      </w:r>
    </w:p>
    <w:p w:rsidR="008B4F4F" w:rsidRPr="000B0916" w:rsidRDefault="008B4F4F" w:rsidP="008B4F4F">
      <w:pPr>
        <w:pStyle w:val="Ruller41"/>
        <w:rPr>
          <w:rFonts w:ascii="David" w:hAnsi="David" w:cs="David"/>
          <w:sz w:val="20"/>
          <w:szCs w:val="20"/>
          <w:rtl/>
        </w:rPr>
      </w:pPr>
    </w:p>
    <w:p w:rsidR="008776C8" w:rsidRPr="008B4F4F" w:rsidRDefault="008776C8" w:rsidP="008776C8">
      <w:pPr>
        <w:pStyle w:val="Ruller41"/>
        <w:rPr>
          <w:rFonts w:ascii="David" w:hAnsi="David" w:cs="David"/>
          <w:b/>
          <w:bCs/>
          <w:sz w:val="24"/>
          <w:szCs w:val="24"/>
          <w:u w:val="single"/>
          <w:rtl/>
        </w:rPr>
      </w:pPr>
      <w:r>
        <w:rPr>
          <w:rFonts w:ascii="David" w:hAnsi="David" w:cs="David" w:hint="cs"/>
          <w:b/>
          <w:bCs/>
          <w:sz w:val="24"/>
          <w:szCs w:val="24"/>
          <w:u w:val="single"/>
          <w:rtl/>
        </w:rPr>
        <w:t>הרכבת הממשלה</w:t>
      </w:r>
    </w:p>
    <w:p w:rsidR="008776C8" w:rsidRPr="000B0916" w:rsidRDefault="008776C8" w:rsidP="008B4F4F">
      <w:pPr>
        <w:pStyle w:val="Ruller41"/>
        <w:rPr>
          <w:rFonts w:ascii="David" w:hAnsi="David" w:cs="David"/>
          <w:sz w:val="20"/>
          <w:szCs w:val="20"/>
          <w:rtl/>
        </w:rPr>
      </w:pPr>
    </w:p>
    <w:p w:rsidR="008B4F4F" w:rsidRDefault="008B4F4F" w:rsidP="008776C8">
      <w:pPr>
        <w:pStyle w:val="Ruller41"/>
        <w:rPr>
          <w:rtl/>
        </w:rPr>
      </w:pPr>
      <w:r>
        <w:rPr>
          <w:rFonts w:ascii="David" w:hAnsi="David" w:cs="David" w:hint="cs"/>
          <w:sz w:val="24"/>
          <w:szCs w:val="24"/>
          <w:rtl/>
        </w:rPr>
        <w:t xml:space="preserve">אשר לשאלה הראשונה נקבע כי </w:t>
      </w:r>
      <w:r w:rsidRPr="008B4F4F">
        <w:rPr>
          <w:rFonts w:ascii="David" w:hAnsi="David" w:cs="David" w:hint="cs"/>
          <w:sz w:val="24"/>
          <w:szCs w:val="24"/>
          <w:rtl/>
        </w:rPr>
        <w:t>ככל שהדבר נוגע לתנאי הכשירות הקבועים בחוק, כתב אישום התלוי ועומד נגד חבר כנסת אינו מונע את הטלת תפקיד הרכבת הממשלה עליו</w:t>
      </w:r>
      <w:r w:rsidR="009F5BEE">
        <w:rPr>
          <w:rFonts w:ascii="David" w:hAnsi="David" w:cs="David" w:hint="cs"/>
          <w:sz w:val="24"/>
          <w:szCs w:val="24"/>
          <w:rtl/>
        </w:rPr>
        <w:t>,</w:t>
      </w:r>
      <w:r w:rsidRPr="008B4F4F">
        <w:rPr>
          <w:rFonts w:ascii="David" w:hAnsi="David" w:cs="David" w:hint="cs"/>
          <w:sz w:val="24"/>
          <w:szCs w:val="24"/>
          <w:rtl/>
        </w:rPr>
        <w:t xml:space="preserve"> וכפועל היוצא מכך את מינויו לעמוד בראשה.</w:t>
      </w:r>
      <w:r>
        <w:rPr>
          <w:rFonts w:ascii="David" w:hAnsi="David" w:cs="David" w:hint="cs"/>
          <w:sz w:val="24"/>
          <w:szCs w:val="24"/>
          <w:rtl/>
        </w:rPr>
        <w:t xml:space="preserve"> עם זאת, בית המשפט הדגיש כי משוכת הכשירות איננה סוף פסוק </w:t>
      </w:r>
      <w:r w:rsidR="008776C8">
        <w:rPr>
          <w:rFonts w:ascii="David" w:hAnsi="David" w:cs="David" w:hint="cs"/>
          <w:sz w:val="24"/>
          <w:szCs w:val="24"/>
          <w:rtl/>
        </w:rPr>
        <w:t>וכי ככל</w:t>
      </w:r>
      <w:r>
        <w:rPr>
          <w:rFonts w:ascii="David" w:hAnsi="David" w:cs="David" w:hint="cs"/>
          <w:sz w:val="24"/>
          <w:szCs w:val="24"/>
          <w:rtl/>
        </w:rPr>
        <w:t xml:space="preserve"> שהדבר נוגע לתפקידים ציבוריים </w:t>
      </w:r>
      <w:r w:rsidR="008776C8" w:rsidRPr="000B0916">
        <w:rPr>
          <w:rFonts w:ascii="David" w:hAnsi="David" w:cs="David" w:hint="cs"/>
          <w:sz w:val="24"/>
          <w:szCs w:val="24"/>
          <w:rtl/>
        </w:rPr>
        <w:t>נקבע זה מכבר</w:t>
      </w:r>
      <w:r w:rsidR="000B0916" w:rsidRPr="000B0916">
        <w:rPr>
          <w:rFonts w:ascii="David" w:hAnsi="David" w:cs="David" w:hint="cs"/>
          <w:sz w:val="24"/>
          <w:szCs w:val="24"/>
          <w:rtl/>
        </w:rPr>
        <w:t xml:space="preserve"> בפסיקה</w:t>
      </w:r>
      <w:r w:rsidR="008776C8" w:rsidRPr="000B0916">
        <w:rPr>
          <w:rFonts w:ascii="David" w:hAnsi="David" w:cs="David" w:hint="cs"/>
          <w:sz w:val="24"/>
          <w:szCs w:val="24"/>
          <w:rtl/>
        </w:rPr>
        <w:t xml:space="preserve"> העקרון ולפיו</w:t>
      </w:r>
      <w:r>
        <w:rPr>
          <w:rFonts w:ascii="David" w:hAnsi="David" w:cs="David" w:hint="cs"/>
          <w:sz w:val="24"/>
          <w:szCs w:val="24"/>
          <w:rtl/>
        </w:rPr>
        <w:t xml:space="preserve"> "כשירות לחוד ושיקול דעת לחוד", כפי שנפסק בעבר </w:t>
      </w:r>
      <w:r w:rsidR="00BC2AAA">
        <w:rPr>
          <w:rFonts w:ascii="David" w:hAnsi="David" w:cs="David" w:hint="cs"/>
          <w:sz w:val="24"/>
          <w:szCs w:val="24"/>
          <w:rtl/>
        </w:rPr>
        <w:t xml:space="preserve">למשל בכל הנוגע </w:t>
      </w:r>
      <w:r>
        <w:rPr>
          <w:rFonts w:ascii="David" w:hAnsi="David" w:cs="David" w:hint="cs"/>
          <w:sz w:val="24"/>
          <w:szCs w:val="24"/>
          <w:rtl/>
        </w:rPr>
        <w:t>ל</w:t>
      </w:r>
      <w:r w:rsidR="00BC2AAA">
        <w:rPr>
          <w:rFonts w:ascii="David" w:hAnsi="David" w:cs="David" w:hint="cs"/>
          <w:sz w:val="24"/>
          <w:szCs w:val="24"/>
          <w:rtl/>
        </w:rPr>
        <w:t xml:space="preserve">מינוי </w:t>
      </w:r>
      <w:r>
        <w:rPr>
          <w:rFonts w:ascii="David" w:hAnsi="David" w:cs="David" w:hint="cs"/>
          <w:sz w:val="24"/>
          <w:szCs w:val="24"/>
          <w:rtl/>
        </w:rPr>
        <w:t xml:space="preserve">שרים </w:t>
      </w:r>
      <w:r w:rsidR="00BC2AAA">
        <w:rPr>
          <w:rFonts w:ascii="David" w:hAnsi="David" w:cs="David" w:hint="cs"/>
          <w:sz w:val="24"/>
          <w:szCs w:val="24"/>
          <w:rtl/>
        </w:rPr>
        <w:t>(</w:t>
      </w:r>
      <w:r>
        <w:rPr>
          <w:rFonts w:ascii="David" w:hAnsi="David" w:cs="David" w:hint="cs"/>
          <w:sz w:val="24"/>
          <w:szCs w:val="24"/>
          <w:rtl/>
        </w:rPr>
        <w:t>הלכת דרעי-פנחסי</w:t>
      </w:r>
      <w:r w:rsidR="00BC2AAA">
        <w:rPr>
          <w:rFonts w:ascii="David" w:hAnsi="David" w:cs="David" w:hint="cs"/>
          <w:sz w:val="24"/>
          <w:szCs w:val="24"/>
          <w:rtl/>
        </w:rPr>
        <w:t>)</w:t>
      </w:r>
      <w:r>
        <w:rPr>
          <w:rFonts w:ascii="David" w:hAnsi="David" w:cs="David" w:hint="cs"/>
          <w:sz w:val="24"/>
          <w:szCs w:val="24"/>
          <w:rtl/>
        </w:rPr>
        <w:t xml:space="preserve">. </w:t>
      </w:r>
    </w:p>
    <w:p w:rsidR="008B4F4F" w:rsidRPr="000B0916" w:rsidRDefault="008B4F4F" w:rsidP="008B4F4F">
      <w:pPr>
        <w:pStyle w:val="Ruller41"/>
        <w:rPr>
          <w:sz w:val="20"/>
          <w:szCs w:val="20"/>
          <w:rtl/>
        </w:rPr>
      </w:pPr>
    </w:p>
    <w:p w:rsidR="008B4F4F" w:rsidRDefault="008B4F4F" w:rsidP="008776C8">
      <w:pPr>
        <w:pStyle w:val="Ruller41"/>
        <w:rPr>
          <w:rFonts w:ascii="David" w:hAnsi="David" w:cs="David"/>
          <w:sz w:val="24"/>
          <w:szCs w:val="24"/>
          <w:rtl/>
        </w:rPr>
      </w:pPr>
      <w:r>
        <w:rPr>
          <w:rFonts w:ascii="David" w:hAnsi="David" w:cs="David" w:hint="cs"/>
          <w:sz w:val="24"/>
          <w:szCs w:val="24"/>
          <w:rtl/>
        </w:rPr>
        <w:t>לאחר שבחן מי</w:t>
      </w:r>
      <w:r w:rsidR="008776C8">
        <w:rPr>
          <w:rFonts w:ascii="David" w:hAnsi="David" w:cs="David" w:hint="cs"/>
          <w:sz w:val="24"/>
          <w:szCs w:val="24"/>
          <w:rtl/>
        </w:rPr>
        <w:t>הו</w:t>
      </w:r>
      <w:r>
        <w:rPr>
          <w:rFonts w:ascii="David" w:hAnsi="David" w:cs="David" w:hint="cs"/>
          <w:sz w:val="24"/>
          <w:szCs w:val="24"/>
          <w:rtl/>
        </w:rPr>
        <w:t xml:space="preserve"> הגורם שיש לבחון את שיקול דעתו בנסיבות המקרה, נמצא </w:t>
      </w:r>
      <w:r w:rsidRPr="008B4F4F">
        <w:rPr>
          <w:rFonts w:ascii="David" w:hAnsi="David" w:cs="David" w:hint="cs"/>
          <w:sz w:val="24"/>
          <w:szCs w:val="24"/>
          <w:rtl/>
        </w:rPr>
        <w:t xml:space="preserve">כי מבין ארבעת הגורמים שמנו העותרים, הגורם היחיד </w:t>
      </w:r>
      <w:r w:rsidRPr="000B0916">
        <w:rPr>
          <w:rFonts w:ascii="David" w:hAnsi="David" w:cs="David" w:hint="cs"/>
          <w:sz w:val="24"/>
          <w:szCs w:val="24"/>
          <w:rtl/>
        </w:rPr>
        <w:t xml:space="preserve">המפעיל שיקול דעת </w:t>
      </w:r>
      <w:r w:rsidR="00AE0AA1" w:rsidRPr="000B0916">
        <w:rPr>
          <w:rFonts w:ascii="David" w:hAnsi="David" w:cs="David" w:hint="cs"/>
          <w:sz w:val="24"/>
          <w:szCs w:val="24"/>
          <w:rtl/>
        </w:rPr>
        <w:t>מהותי</w:t>
      </w:r>
      <w:r w:rsidR="00AE0AA1">
        <w:rPr>
          <w:rFonts w:ascii="David" w:hAnsi="David" w:cs="David" w:hint="cs"/>
          <w:sz w:val="24"/>
          <w:szCs w:val="24"/>
          <w:rtl/>
        </w:rPr>
        <w:t xml:space="preserve"> </w:t>
      </w:r>
      <w:r w:rsidRPr="008B4F4F">
        <w:rPr>
          <w:rFonts w:ascii="David" w:hAnsi="David" w:cs="David" w:hint="cs"/>
          <w:sz w:val="24"/>
          <w:szCs w:val="24"/>
          <w:rtl/>
        </w:rPr>
        <w:t>שאותו ניתן לבחון בהקשר זה, הוא חברי הכנסת המבקשים להטיל את תפקיד הרכבת הממשלה על חבר כנסת מסוים.</w:t>
      </w:r>
      <w:r>
        <w:rPr>
          <w:rFonts w:ascii="David" w:hAnsi="David" w:cs="David" w:hint="cs"/>
          <w:sz w:val="24"/>
          <w:szCs w:val="24"/>
          <w:rtl/>
        </w:rPr>
        <w:t xml:space="preserve"> בהקשר זה נקבע כי </w:t>
      </w:r>
      <w:r w:rsidRPr="00BC2AAA">
        <w:rPr>
          <w:rFonts w:ascii="David" w:hAnsi="David" w:cs="David" w:hint="cs"/>
          <w:b/>
          <w:bCs/>
          <w:sz w:val="24"/>
          <w:szCs w:val="24"/>
          <w:rtl/>
        </w:rPr>
        <w:t xml:space="preserve">"ההחלטה לבקש מנשיא המדינה להטיל את מלאכת הרכבת הממשלה על חבר כנסת פלוני היא החלטה הכרוכה בהפעלת שיקול דעת פוליטי רחב. היא נועדה לתרגם את דין הבוחר לכדי תמיכה באחד מחברי הכנסת </w:t>
      </w:r>
      <w:r w:rsidR="008776C8">
        <w:rPr>
          <w:rFonts w:ascii="David" w:hAnsi="David" w:cs="David" w:hint="cs"/>
          <w:b/>
          <w:bCs/>
          <w:sz w:val="24"/>
          <w:szCs w:val="24"/>
          <w:rtl/>
        </w:rPr>
        <w:t xml:space="preserve">לתפקיד ראש הממשלה וזאת באמצעות </w:t>
      </w:r>
      <w:r w:rsidRPr="00BC2AAA">
        <w:rPr>
          <w:rFonts w:ascii="David" w:hAnsi="David" w:cs="David" w:hint="cs"/>
          <w:b/>
          <w:bCs/>
          <w:sz w:val="24"/>
          <w:szCs w:val="24"/>
          <w:rtl/>
        </w:rPr>
        <w:t xml:space="preserve">רוב מתוך חברי הכנסת התומכים בבקשה. עניין זה מצוי בלב ליבו של ההליך הדמוקרטי. </w:t>
      </w:r>
      <w:r w:rsidRPr="00BC2AAA">
        <w:rPr>
          <w:rFonts w:ascii="David" w:hAnsi="David" w:cs="David"/>
          <w:b/>
          <w:bCs/>
          <w:sz w:val="24"/>
          <w:szCs w:val="24"/>
          <w:rtl/>
        </w:rPr>
        <w:t>התערבות חיצונית ב</w:t>
      </w:r>
      <w:r w:rsidRPr="00BC2AAA">
        <w:rPr>
          <w:rFonts w:ascii="David" w:hAnsi="David" w:cs="David" w:hint="cs"/>
          <w:b/>
          <w:bCs/>
          <w:sz w:val="24"/>
          <w:szCs w:val="24"/>
          <w:rtl/>
        </w:rPr>
        <w:t>הליך זה</w:t>
      </w:r>
      <w:r w:rsidRPr="00BC2AAA">
        <w:rPr>
          <w:rFonts w:ascii="David" w:hAnsi="David" w:cs="David"/>
          <w:b/>
          <w:bCs/>
          <w:sz w:val="24"/>
          <w:szCs w:val="24"/>
          <w:rtl/>
        </w:rPr>
        <w:t xml:space="preserve"> </w:t>
      </w:r>
      <w:r w:rsidRPr="00BC2AAA">
        <w:rPr>
          <w:rFonts w:ascii="David" w:hAnsi="David" w:cs="David" w:hint="cs"/>
          <w:b/>
          <w:bCs/>
          <w:sz w:val="24"/>
          <w:szCs w:val="24"/>
          <w:rtl/>
        </w:rPr>
        <w:t>יש בה משום פגיעה מהותית</w:t>
      </w:r>
      <w:r w:rsidRPr="00BC2AAA">
        <w:rPr>
          <w:rFonts w:ascii="David" w:hAnsi="David" w:cs="David"/>
          <w:b/>
          <w:bCs/>
          <w:sz w:val="24"/>
          <w:szCs w:val="24"/>
          <w:rtl/>
        </w:rPr>
        <w:t xml:space="preserve"> ב</w:t>
      </w:r>
      <w:r w:rsidRPr="00BC2AAA">
        <w:rPr>
          <w:rFonts w:ascii="David" w:hAnsi="David" w:cs="David" w:hint="cs"/>
          <w:b/>
          <w:bCs/>
          <w:sz w:val="24"/>
          <w:szCs w:val="24"/>
          <w:rtl/>
        </w:rPr>
        <w:t>עקרון הכרעת הרוב העומד ב</w:t>
      </w:r>
      <w:r w:rsidRPr="00BC2AAA">
        <w:rPr>
          <w:rFonts w:ascii="David" w:hAnsi="David" w:cs="David"/>
          <w:b/>
          <w:bCs/>
          <w:sz w:val="24"/>
          <w:szCs w:val="24"/>
          <w:rtl/>
        </w:rPr>
        <w:t xml:space="preserve">בסיס </w:t>
      </w:r>
      <w:r w:rsidRPr="00BC2AAA">
        <w:rPr>
          <w:rFonts w:ascii="David" w:hAnsi="David" w:cs="David" w:hint="cs"/>
          <w:b/>
          <w:bCs/>
          <w:sz w:val="24"/>
          <w:szCs w:val="24"/>
          <w:rtl/>
        </w:rPr>
        <w:t xml:space="preserve">שיטת </w:t>
      </w:r>
      <w:r w:rsidRPr="00BC2AAA">
        <w:rPr>
          <w:rFonts w:ascii="David" w:hAnsi="David" w:cs="David"/>
          <w:b/>
          <w:bCs/>
          <w:sz w:val="24"/>
          <w:szCs w:val="24"/>
          <w:rtl/>
        </w:rPr>
        <w:t xml:space="preserve">המשטר </w:t>
      </w:r>
      <w:r w:rsidRPr="00BC2AAA">
        <w:rPr>
          <w:rFonts w:ascii="David" w:hAnsi="David" w:cs="David" w:hint="cs"/>
          <w:b/>
          <w:bCs/>
          <w:sz w:val="24"/>
          <w:szCs w:val="24"/>
          <w:rtl/>
        </w:rPr>
        <w:t>שלנו</w:t>
      </w:r>
      <w:r>
        <w:rPr>
          <w:rFonts w:ascii="David" w:hAnsi="David" w:cs="David" w:hint="cs"/>
          <w:sz w:val="24"/>
          <w:szCs w:val="24"/>
          <w:rtl/>
        </w:rPr>
        <w:t>". מן המהות הפוליטית של החלטה זו, כך נקבע, נגזר גם היקפה המצומצם ביותר של הביקורת השיפוטית שניתן להפעיל לגביה</w:t>
      </w:r>
      <w:r w:rsidR="008776C8">
        <w:rPr>
          <w:rFonts w:ascii="David" w:hAnsi="David" w:cs="David" w:hint="cs"/>
          <w:sz w:val="24"/>
          <w:szCs w:val="24"/>
          <w:rtl/>
        </w:rPr>
        <w:t xml:space="preserve"> המוגבלת למצבים חריגים ונדירים </w:t>
      </w:r>
      <w:r w:rsidR="005A6B0E">
        <w:rPr>
          <w:rFonts w:ascii="David" w:hAnsi="David" w:cs="David" w:hint="cs"/>
          <w:sz w:val="24"/>
          <w:szCs w:val="24"/>
          <w:rtl/>
        </w:rPr>
        <w:t xml:space="preserve">ביותר </w:t>
      </w:r>
      <w:r w:rsidR="008776C8">
        <w:rPr>
          <w:rFonts w:ascii="David" w:hAnsi="David" w:cs="David" w:hint="cs"/>
          <w:sz w:val="24"/>
          <w:szCs w:val="24"/>
          <w:rtl/>
        </w:rPr>
        <w:t xml:space="preserve">ולנסיבות קיצוניות בלבד, שהמקרה דנן אינו נמנה עמם. </w:t>
      </w:r>
    </w:p>
    <w:p w:rsidR="008776C8" w:rsidRPr="000B0916" w:rsidRDefault="008776C8" w:rsidP="008776C8">
      <w:pPr>
        <w:pStyle w:val="Ruller41"/>
        <w:rPr>
          <w:rFonts w:ascii="David" w:hAnsi="David" w:cs="David"/>
          <w:sz w:val="20"/>
          <w:szCs w:val="20"/>
          <w:rtl/>
        </w:rPr>
      </w:pPr>
    </w:p>
    <w:p w:rsidR="00AE0AA1" w:rsidRDefault="008B4F4F" w:rsidP="00ED75CE">
      <w:pPr>
        <w:pStyle w:val="Ruller41"/>
        <w:rPr>
          <w:rFonts w:ascii="David" w:hAnsi="David" w:cs="David"/>
          <w:sz w:val="24"/>
          <w:szCs w:val="24"/>
          <w:rtl/>
        </w:rPr>
      </w:pPr>
      <w:r w:rsidRPr="000B0916">
        <w:rPr>
          <w:rFonts w:ascii="David" w:hAnsi="David" w:cs="David" w:hint="cs"/>
          <w:sz w:val="24"/>
          <w:szCs w:val="24"/>
          <w:rtl/>
        </w:rPr>
        <w:t xml:space="preserve">בית המשפט ציין כי רשם בפניו את הודעת היועץ המשפטי לממשלה </w:t>
      </w:r>
      <w:r w:rsidR="005A6B0E" w:rsidRPr="000B0916">
        <w:rPr>
          <w:rFonts w:ascii="David" w:hAnsi="David" w:cs="David" w:hint="cs"/>
          <w:sz w:val="24"/>
          <w:szCs w:val="24"/>
          <w:rtl/>
        </w:rPr>
        <w:t xml:space="preserve">ולפיה </w:t>
      </w:r>
      <w:r w:rsidRPr="000B0916">
        <w:rPr>
          <w:rFonts w:ascii="David" w:hAnsi="David" w:cs="David" w:hint="cs"/>
          <w:sz w:val="24"/>
          <w:szCs w:val="24"/>
          <w:rtl/>
        </w:rPr>
        <w:t>כהונתו של חבר הכנסת נתניהו תהיה כפופה להסדר ניגוד עניינים שייערך עמו, אשר יקבע "מגבלות בקשר למילוי תפקידו בעני</w:t>
      </w:r>
      <w:r w:rsidR="008776C8" w:rsidRPr="000B0916">
        <w:rPr>
          <w:rFonts w:ascii="David" w:hAnsi="David" w:cs="David" w:hint="cs"/>
          <w:sz w:val="24"/>
          <w:szCs w:val="24"/>
          <w:rtl/>
        </w:rPr>
        <w:t>ינים הנוגעים למערכת אכיפת החוק",</w:t>
      </w:r>
      <w:r w:rsidRPr="000B0916">
        <w:rPr>
          <w:rFonts w:ascii="David" w:hAnsi="David" w:cs="David" w:hint="cs"/>
          <w:sz w:val="24"/>
          <w:szCs w:val="24"/>
          <w:rtl/>
        </w:rPr>
        <w:t xml:space="preserve"> </w:t>
      </w:r>
      <w:r w:rsidR="005A6B0E" w:rsidRPr="000B0916">
        <w:rPr>
          <w:rFonts w:ascii="David" w:hAnsi="David" w:cs="David" w:hint="cs"/>
          <w:sz w:val="24"/>
          <w:szCs w:val="24"/>
          <w:rtl/>
        </w:rPr>
        <w:t xml:space="preserve">וזאת </w:t>
      </w:r>
      <w:r w:rsidRPr="000B0916">
        <w:rPr>
          <w:rFonts w:ascii="David" w:hAnsi="David" w:cs="David" w:hint="cs"/>
          <w:sz w:val="24"/>
          <w:szCs w:val="24"/>
          <w:rtl/>
        </w:rPr>
        <w:t>א</w:t>
      </w:r>
      <w:r>
        <w:rPr>
          <w:rFonts w:ascii="David" w:hAnsi="David" w:cs="David" w:hint="cs"/>
          <w:sz w:val="24"/>
          <w:szCs w:val="24"/>
          <w:rtl/>
        </w:rPr>
        <w:t xml:space="preserve">ישר גם בא כוחו של ראש הממשלה בטיעוניו. </w:t>
      </w:r>
    </w:p>
    <w:p w:rsidR="00AE0AA1" w:rsidRPr="000B0916" w:rsidRDefault="00AE0AA1" w:rsidP="00AE0AA1">
      <w:pPr>
        <w:pStyle w:val="Ruller41"/>
        <w:rPr>
          <w:rFonts w:ascii="David" w:hAnsi="David" w:cs="David"/>
          <w:sz w:val="20"/>
          <w:szCs w:val="20"/>
          <w:rtl/>
        </w:rPr>
      </w:pPr>
    </w:p>
    <w:p w:rsidR="00AE0AA1" w:rsidRPr="007054FF" w:rsidRDefault="008B4F4F" w:rsidP="00AE0AA1">
      <w:pPr>
        <w:pStyle w:val="Ruller41"/>
        <w:rPr>
          <w:rFonts w:ascii="Century" w:hAnsi="Century" w:cs="David"/>
          <w:b/>
          <w:bCs/>
          <w:spacing w:val="0"/>
          <w:szCs w:val="24"/>
          <w:u w:val="single"/>
        </w:rPr>
      </w:pPr>
      <w:r w:rsidRPr="00AE0AA1">
        <w:rPr>
          <w:rFonts w:ascii="David" w:hAnsi="David" w:cs="David"/>
          <w:sz w:val="24"/>
          <w:szCs w:val="24"/>
          <w:rtl/>
        </w:rPr>
        <w:lastRenderedPageBreak/>
        <w:t xml:space="preserve">בית המשפט סיכם את מסקנתו בהקשר זה באומרו כי </w:t>
      </w:r>
      <w:r w:rsidR="00AE0AA1" w:rsidRPr="007054FF">
        <w:rPr>
          <w:rFonts w:ascii="David" w:hAnsi="David" w:cs="David"/>
          <w:b/>
          <w:bCs/>
          <w:sz w:val="24"/>
          <w:szCs w:val="24"/>
          <w:rtl/>
        </w:rPr>
        <w:t>"המסקנה המשפטית שאליה הגענו אין בה כדי ל</w:t>
      </w:r>
      <w:r w:rsidR="00965318">
        <w:rPr>
          <w:rFonts w:ascii="David" w:hAnsi="David" w:cs="David"/>
          <w:b/>
          <w:bCs/>
          <w:sz w:val="24"/>
          <w:szCs w:val="24"/>
          <w:rtl/>
        </w:rPr>
        <w:t>המעיט מחומרת האישומים התלויים ו</w:t>
      </w:r>
      <w:r w:rsidR="00AE0AA1" w:rsidRPr="007054FF">
        <w:rPr>
          <w:rFonts w:ascii="David" w:hAnsi="David" w:cs="David"/>
          <w:b/>
          <w:bCs/>
          <w:sz w:val="24"/>
          <w:szCs w:val="24"/>
          <w:rtl/>
        </w:rPr>
        <w:t>עומדים נגד חה"כ נתניהו בעבירות על טוהר המידות, ומהקושי הנגזר מכהונה של ראש ממשלה הנאשם בפלילים. אולם תוצאה זו היא פועל יוצא של הדין ומשאמרנו זאת נאמר גם שחזקת החפות עומדת לו. תפקידו של בית המשפט מוגבל לבחינת עילות הביקורת השיפוטית הקבועות בדין. על כן, כאשר נמנע בית המשפט מהתערבות במינוי כזה או אחר, אין ללמוד מכך אלא זאת – שההחלטה על המינוי אינה בניגוד לדין".</w:t>
      </w:r>
    </w:p>
    <w:p w:rsidR="008B4F4F" w:rsidRPr="000B0916" w:rsidRDefault="008B4F4F" w:rsidP="008B4F4F">
      <w:pPr>
        <w:pStyle w:val="Ruller41"/>
        <w:rPr>
          <w:rFonts w:ascii="David" w:hAnsi="David" w:cs="David"/>
          <w:sz w:val="20"/>
          <w:szCs w:val="20"/>
          <w:rtl/>
        </w:rPr>
      </w:pPr>
    </w:p>
    <w:p w:rsidR="008B4F4F" w:rsidRPr="00AE0AA1" w:rsidRDefault="008B4F4F" w:rsidP="008B4F4F">
      <w:pPr>
        <w:pStyle w:val="Ruller41"/>
        <w:rPr>
          <w:rFonts w:ascii="David" w:hAnsi="David" w:cs="David"/>
          <w:b/>
          <w:bCs/>
          <w:sz w:val="24"/>
          <w:szCs w:val="24"/>
          <w:u w:val="single"/>
          <w:rtl/>
        </w:rPr>
      </w:pPr>
      <w:r w:rsidRPr="00AE0AA1">
        <w:rPr>
          <w:rFonts w:ascii="David" w:hAnsi="David" w:cs="David"/>
          <w:b/>
          <w:bCs/>
          <w:sz w:val="24"/>
          <w:szCs w:val="24"/>
          <w:u w:val="single"/>
          <w:rtl/>
        </w:rPr>
        <w:t xml:space="preserve">ההסכם הקואליציוני </w:t>
      </w:r>
    </w:p>
    <w:p w:rsidR="008B4F4F" w:rsidRPr="000B0916" w:rsidRDefault="008B4F4F" w:rsidP="00285C4A">
      <w:pPr>
        <w:pStyle w:val="Ruller41"/>
        <w:rPr>
          <w:rFonts w:ascii="David" w:hAnsi="David" w:cs="David"/>
          <w:sz w:val="20"/>
          <w:szCs w:val="20"/>
          <w:rtl/>
        </w:rPr>
      </w:pPr>
    </w:p>
    <w:p w:rsidR="008B4F4F" w:rsidRPr="00BC2AAA" w:rsidRDefault="008B4F4F" w:rsidP="008B4F4F">
      <w:pPr>
        <w:pStyle w:val="Ruller41"/>
        <w:rPr>
          <w:rFonts w:ascii="David" w:hAnsi="David" w:cs="David"/>
          <w:b/>
          <w:bCs/>
          <w:sz w:val="24"/>
          <w:szCs w:val="24"/>
          <w:rtl/>
        </w:rPr>
      </w:pPr>
      <w:r w:rsidRPr="00BC2AAA">
        <w:rPr>
          <w:rFonts w:ascii="David" w:hAnsi="David" w:cs="David" w:hint="cs"/>
          <w:b/>
          <w:bCs/>
          <w:sz w:val="24"/>
          <w:szCs w:val="24"/>
          <w:rtl/>
        </w:rPr>
        <w:t xml:space="preserve">בכל הנוגע להסכם הקואליציוני מיום 20.4.2020 בין סיעות הליכוד וכחול לבן, נקבע כי מדובר בהסכם חריג גם בהשוואה להסכמים קואליציוניים מן העבר שנדונו בבית המשפט, ואולם אף שהוא מעורר "קשיים משפטיים לא מבוטלים", לעת הזו אין מקום להתערב באיזה מסעיפיו, בין היתר, בהינתן התיקונים וההבהרות שמסרו ראש הממשלה וסיעות כחול לבן והליכוד </w:t>
      </w:r>
      <w:r w:rsidR="008776C8">
        <w:rPr>
          <w:rFonts w:ascii="David" w:hAnsi="David" w:cs="David" w:hint="cs"/>
          <w:b/>
          <w:bCs/>
          <w:sz w:val="24"/>
          <w:szCs w:val="24"/>
          <w:rtl/>
        </w:rPr>
        <w:t>במהלך הדיון ו</w:t>
      </w:r>
      <w:r w:rsidRPr="00BC2AAA">
        <w:rPr>
          <w:rFonts w:ascii="David" w:hAnsi="David" w:cs="David" w:hint="cs"/>
          <w:b/>
          <w:bCs/>
          <w:sz w:val="24"/>
          <w:szCs w:val="24"/>
          <w:rtl/>
        </w:rPr>
        <w:t xml:space="preserve">בהודעתם מיום 5.5.2020. </w:t>
      </w:r>
    </w:p>
    <w:p w:rsidR="008B4F4F" w:rsidRDefault="008B4F4F" w:rsidP="008B4F4F">
      <w:pPr>
        <w:pStyle w:val="Ruller41"/>
        <w:rPr>
          <w:rFonts w:ascii="David" w:hAnsi="David" w:cs="David"/>
          <w:sz w:val="24"/>
          <w:szCs w:val="24"/>
          <w:rtl/>
        </w:rPr>
      </w:pPr>
    </w:p>
    <w:p w:rsidR="008B4F4F" w:rsidRDefault="008B4F4F" w:rsidP="008B4F4F">
      <w:pPr>
        <w:pStyle w:val="Ruller41"/>
        <w:rPr>
          <w:rFonts w:ascii="David" w:hAnsi="David" w:cs="David"/>
          <w:sz w:val="24"/>
          <w:szCs w:val="24"/>
          <w:rtl/>
        </w:rPr>
      </w:pPr>
      <w:r>
        <w:rPr>
          <w:rFonts w:ascii="David" w:hAnsi="David" w:cs="David" w:hint="cs"/>
          <w:sz w:val="24"/>
          <w:szCs w:val="24"/>
          <w:rtl/>
        </w:rPr>
        <w:t xml:space="preserve">בכל הנוגע להוראות בהסכם הקואליציוני העוסקות בחקיקה עתידית, נפסק כי </w:t>
      </w:r>
      <w:r w:rsidRPr="00BC2AAA">
        <w:rPr>
          <w:rFonts w:ascii="David" w:hAnsi="David" w:cs="David" w:hint="cs"/>
          <w:b/>
          <w:bCs/>
          <w:sz w:val="24"/>
          <w:szCs w:val="24"/>
          <w:rtl/>
        </w:rPr>
        <w:t>בית המשפט אינו מתערב בהליכי חקיקה בטרם הושלמו</w:t>
      </w:r>
      <w:r>
        <w:rPr>
          <w:rFonts w:ascii="David" w:hAnsi="David" w:cs="David" w:hint="cs"/>
          <w:sz w:val="24"/>
          <w:szCs w:val="24"/>
          <w:rtl/>
        </w:rPr>
        <w:t xml:space="preserve">, בין אם הם בעיצומם או שטרם באו לעולם. </w:t>
      </w:r>
      <w:r w:rsidRPr="008B4F4F">
        <w:rPr>
          <w:rFonts w:ascii="David" w:hAnsi="David" w:cs="David" w:hint="cs"/>
          <w:sz w:val="24"/>
          <w:szCs w:val="24"/>
          <w:rtl/>
        </w:rPr>
        <w:t xml:space="preserve">לפיכך, לא </w:t>
      </w:r>
      <w:r>
        <w:rPr>
          <w:rFonts w:ascii="David" w:hAnsi="David" w:cs="David" w:hint="cs"/>
          <w:sz w:val="24"/>
          <w:szCs w:val="24"/>
          <w:rtl/>
        </w:rPr>
        <w:t>נמצא</w:t>
      </w:r>
      <w:r w:rsidRPr="008B4F4F">
        <w:rPr>
          <w:rFonts w:ascii="David" w:hAnsi="David" w:cs="David" w:hint="cs"/>
          <w:sz w:val="24"/>
          <w:szCs w:val="24"/>
          <w:rtl/>
        </w:rPr>
        <w:t xml:space="preserve"> מקום להידרש להוראות </w:t>
      </w:r>
      <w:r>
        <w:rPr>
          <w:rFonts w:ascii="David" w:hAnsi="David" w:cs="David" w:hint="cs"/>
          <w:sz w:val="24"/>
          <w:szCs w:val="24"/>
          <w:rtl/>
        </w:rPr>
        <w:t>בהסכם הקואליציוני העוסקות בחקיקה עתידית,</w:t>
      </w:r>
      <w:r w:rsidRPr="008B4F4F">
        <w:rPr>
          <w:rFonts w:ascii="David" w:hAnsi="David" w:cs="David" w:hint="cs"/>
          <w:sz w:val="24"/>
          <w:szCs w:val="24"/>
          <w:rtl/>
        </w:rPr>
        <w:t xml:space="preserve"> וזאת מבלי שהדבר ייחשב כמתן הכשר להוראות המנויות שם </w:t>
      </w:r>
      <w:r>
        <w:rPr>
          <w:rFonts w:ascii="David" w:hAnsi="David" w:cs="David" w:hint="cs"/>
          <w:sz w:val="24"/>
          <w:szCs w:val="24"/>
          <w:rtl/>
        </w:rPr>
        <w:t>"</w:t>
      </w:r>
      <w:r w:rsidRPr="008B4F4F">
        <w:rPr>
          <w:rFonts w:ascii="David" w:hAnsi="David" w:cs="David" w:hint="cs"/>
          <w:sz w:val="24"/>
          <w:szCs w:val="24"/>
          <w:rtl/>
        </w:rPr>
        <w:t>אשר חלקן לפחות מעוררות על פני הדברים קשיים לא מבוטלים</w:t>
      </w:r>
      <w:r>
        <w:rPr>
          <w:rFonts w:ascii="David" w:hAnsi="David" w:cs="David" w:hint="cs"/>
          <w:sz w:val="24"/>
          <w:szCs w:val="24"/>
          <w:rtl/>
        </w:rPr>
        <w:t>".</w:t>
      </w:r>
    </w:p>
    <w:p w:rsidR="008B4F4F" w:rsidRPr="000B0916" w:rsidRDefault="008B4F4F" w:rsidP="008B4F4F">
      <w:pPr>
        <w:pStyle w:val="Ruller41"/>
        <w:rPr>
          <w:rFonts w:ascii="David" w:hAnsi="David" w:cs="David"/>
          <w:sz w:val="20"/>
          <w:szCs w:val="20"/>
          <w:rtl/>
        </w:rPr>
      </w:pPr>
    </w:p>
    <w:p w:rsidR="008B4F4F" w:rsidRDefault="008B4F4F" w:rsidP="008B4F4F">
      <w:pPr>
        <w:pStyle w:val="Ruller41"/>
        <w:rPr>
          <w:rFonts w:ascii="David" w:hAnsi="David" w:cs="David"/>
          <w:sz w:val="24"/>
          <w:szCs w:val="24"/>
          <w:rtl/>
        </w:rPr>
      </w:pPr>
      <w:r w:rsidRPr="008B4F4F">
        <w:rPr>
          <w:rFonts w:ascii="David" w:hAnsi="David" w:cs="David" w:hint="cs"/>
          <w:sz w:val="24"/>
          <w:szCs w:val="24"/>
          <w:rtl/>
        </w:rPr>
        <w:t>באשר להוראות ההסכם שעניינן התחייבויות המצריכות קיום הליכים פנים-פרלמנטריים בכנסת</w:t>
      </w:r>
      <w:r>
        <w:rPr>
          <w:rFonts w:ascii="David" w:hAnsi="David" w:cs="David" w:hint="cs"/>
          <w:sz w:val="24"/>
          <w:szCs w:val="24"/>
          <w:rtl/>
        </w:rPr>
        <w:t xml:space="preserve"> צוין כי בכל הנוגע לקווי היסוד של הממשלה אשר לפי ההסכם הקואליציוני הוגבלו בתקופת החירום למשבר הקורונה בלבד, הבהירו סיעות כחול לבן והליכוד בעקבות הדיון כי </w:t>
      </w:r>
      <w:r w:rsidRPr="008B4F4F">
        <w:rPr>
          <w:rFonts w:ascii="David" w:hAnsi="David" w:cs="David" w:hint="cs"/>
          <w:sz w:val="24"/>
          <w:szCs w:val="24"/>
          <w:rtl/>
        </w:rPr>
        <w:t xml:space="preserve"> "הממשלה תודיע על קווי היסוד של מדיניותה ביחס לכל תקופת כהונתה בהתאם לקבוע בחוק יסוד: הממשלה".</w:t>
      </w:r>
      <w:r>
        <w:rPr>
          <w:rFonts w:ascii="David" w:hAnsi="David" w:cs="David" w:hint="cs"/>
          <w:sz w:val="24"/>
          <w:szCs w:val="24"/>
          <w:rtl/>
        </w:rPr>
        <w:t xml:space="preserve"> </w:t>
      </w:r>
    </w:p>
    <w:p w:rsidR="008B4F4F" w:rsidRPr="000B0916" w:rsidRDefault="008B4F4F" w:rsidP="008B4F4F">
      <w:pPr>
        <w:pStyle w:val="Ruller41"/>
        <w:rPr>
          <w:rFonts w:ascii="David" w:hAnsi="David" w:cs="David"/>
          <w:sz w:val="20"/>
          <w:szCs w:val="20"/>
          <w:rtl/>
        </w:rPr>
      </w:pPr>
    </w:p>
    <w:p w:rsidR="008B4F4F" w:rsidRDefault="008B4F4F" w:rsidP="008776C8">
      <w:pPr>
        <w:pStyle w:val="Ruller41"/>
        <w:rPr>
          <w:rFonts w:ascii="David" w:hAnsi="David" w:cs="David"/>
          <w:sz w:val="24"/>
          <w:szCs w:val="24"/>
          <w:rtl/>
        </w:rPr>
      </w:pPr>
      <w:r w:rsidRPr="00BC2AAA">
        <w:rPr>
          <w:rFonts w:ascii="David" w:hAnsi="David" w:cs="David" w:hint="cs"/>
          <w:b/>
          <w:bCs/>
          <w:sz w:val="24"/>
          <w:szCs w:val="24"/>
          <w:rtl/>
        </w:rPr>
        <w:lastRenderedPageBreak/>
        <w:t>אשר למתן ראשות ועדות לאופוזיציה ומינוי שני נציגים מן הקואליציה לוועדה לבחירת שופטים (סעיפים 22 ו-26 להסכם)</w:t>
      </w:r>
      <w:r>
        <w:rPr>
          <w:rFonts w:ascii="David" w:hAnsi="David" w:cs="David" w:hint="cs"/>
          <w:sz w:val="24"/>
          <w:szCs w:val="24"/>
          <w:rtl/>
        </w:rPr>
        <w:t xml:space="preserve">, נקבע כי סעיפים אלו מעוררים קושי לא מבוטל, אך </w:t>
      </w:r>
      <w:r w:rsidR="008776C8">
        <w:rPr>
          <w:rFonts w:ascii="David" w:hAnsi="David" w:cs="David" w:hint="cs"/>
          <w:sz w:val="24"/>
          <w:szCs w:val="24"/>
          <w:rtl/>
        </w:rPr>
        <w:t>מש</w:t>
      </w:r>
      <w:r>
        <w:rPr>
          <w:rFonts w:ascii="David" w:hAnsi="David" w:cs="David" w:hint="cs"/>
          <w:sz w:val="24"/>
          <w:szCs w:val="24"/>
          <w:rtl/>
        </w:rPr>
        <w:t xml:space="preserve">טרם </w:t>
      </w:r>
      <w:r w:rsidRPr="008B4F4F">
        <w:rPr>
          <w:rFonts w:ascii="David" w:hAnsi="David" w:cs="David" w:hint="cs"/>
          <w:sz w:val="24"/>
          <w:szCs w:val="24"/>
          <w:rtl/>
        </w:rPr>
        <w:t>התקבלה הצעת הוועדה המסדרת להקמת הוועדות הקבועות הטעונה אישור מל</w:t>
      </w:r>
      <w:r w:rsidR="008776C8">
        <w:rPr>
          <w:rFonts w:ascii="David" w:hAnsi="David" w:cs="David" w:hint="cs"/>
          <w:sz w:val="24"/>
          <w:szCs w:val="24"/>
          <w:rtl/>
        </w:rPr>
        <w:t>י</w:t>
      </w:r>
      <w:r w:rsidRPr="008B4F4F">
        <w:rPr>
          <w:rFonts w:ascii="David" w:hAnsi="David" w:cs="David" w:hint="cs"/>
          <w:sz w:val="24"/>
          <w:szCs w:val="24"/>
          <w:rtl/>
        </w:rPr>
        <w:t>את הכנסת</w:t>
      </w:r>
      <w:r>
        <w:rPr>
          <w:rFonts w:ascii="David" w:hAnsi="David" w:cs="David" w:hint="cs"/>
          <w:sz w:val="24"/>
          <w:szCs w:val="24"/>
          <w:rtl/>
        </w:rPr>
        <w:t xml:space="preserve"> וט</w:t>
      </w:r>
      <w:r w:rsidRPr="008B4F4F">
        <w:rPr>
          <w:rFonts w:ascii="David" w:hAnsi="David" w:cs="David" w:hint="cs"/>
          <w:sz w:val="24"/>
          <w:szCs w:val="24"/>
          <w:rtl/>
        </w:rPr>
        <w:t>רם התקיימה הצבעה חשאית בכנסת לצורך בחירת נציגיה לוועדה לבחירת שופטים אין מקום לח</w:t>
      </w:r>
      <w:r w:rsidR="00BC2AAA">
        <w:rPr>
          <w:rFonts w:ascii="David" w:hAnsi="David" w:cs="David" w:hint="cs"/>
          <w:sz w:val="24"/>
          <w:szCs w:val="24"/>
          <w:rtl/>
        </w:rPr>
        <w:t>רוג מהכלל ל</w:t>
      </w:r>
      <w:r w:rsidRPr="008B4F4F">
        <w:rPr>
          <w:rFonts w:ascii="David" w:hAnsi="David" w:cs="David" w:hint="cs"/>
          <w:sz w:val="24"/>
          <w:szCs w:val="24"/>
          <w:rtl/>
        </w:rPr>
        <w:t>פיו לא תופעל ביקורת שיפוטית על מעשי הרשות טרם שאלה התגבשו</w:t>
      </w:r>
      <w:r>
        <w:rPr>
          <w:rFonts w:ascii="David" w:hAnsi="David" w:cs="David" w:hint="cs"/>
          <w:sz w:val="24"/>
          <w:szCs w:val="24"/>
          <w:rtl/>
        </w:rPr>
        <w:t>.</w:t>
      </w:r>
    </w:p>
    <w:p w:rsidR="008B4F4F" w:rsidRDefault="008B4F4F" w:rsidP="008B4F4F">
      <w:pPr>
        <w:pStyle w:val="Ruller41"/>
        <w:rPr>
          <w:rFonts w:ascii="David" w:hAnsi="David" w:cs="David"/>
          <w:sz w:val="24"/>
          <w:szCs w:val="24"/>
          <w:rtl/>
        </w:rPr>
      </w:pPr>
    </w:p>
    <w:p w:rsidR="008B4F4F" w:rsidRDefault="008B4F4F" w:rsidP="008B4F4F">
      <w:pPr>
        <w:pStyle w:val="Ruller41"/>
        <w:rPr>
          <w:rFonts w:ascii="David" w:hAnsi="David" w:cs="David"/>
          <w:sz w:val="24"/>
          <w:szCs w:val="24"/>
          <w:rtl/>
        </w:rPr>
      </w:pPr>
      <w:r w:rsidRPr="00BC2AAA">
        <w:rPr>
          <w:rFonts w:ascii="David" w:hAnsi="David" w:cs="David" w:hint="cs"/>
          <w:b/>
          <w:bCs/>
          <w:sz w:val="24"/>
          <w:szCs w:val="24"/>
          <w:rtl/>
        </w:rPr>
        <w:t>אשר לקבוצת ההוראות העוסקת בהגבלת תקופת החירום; הקפאת מינויים והגבלת חקיקה</w:t>
      </w:r>
      <w:r>
        <w:rPr>
          <w:rFonts w:ascii="David" w:hAnsi="David" w:cs="David" w:hint="cs"/>
          <w:sz w:val="24"/>
          <w:szCs w:val="24"/>
          <w:rtl/>
        </w:rPr>
        <w:t xml:space="preserve"> נקבע כי לאור ההבהרות של הצדדים (שפורטו בפסק הדין) וההבהרה הכללית בדיון לפיה </w:t>
      </w:r>
      <w:r w:rsidRPr="008B4F4F">
        <w:rPr>
          <w:rFonts w:ascii="David" w:hAnsi="David" w:cs="David" w:hint="cs"/>
          <w:sz w:val="24"/>
          <w:szCs w:val="24"/>
          <w:rtl/>
        </w:rPr>
        <w:t xml:space="preserve">הוראות ההסכם הקואליציוני כפופות לכל דין, קרי, לחקיקה, לחקיקת משנה ולפסיקה </w:t>
      </w:r>
      <w:r>
        <w:rPr>
          <w:rFonts w:ascii="David" w:hAnsi="David" w:cs="David" w:hint="cs"/>
          <w:sz w:val="24"/>
          <w:szCs w:val="24"/>
          <w:rtl/>
        </w:rPr>
        <w:t>לא</w:t>
      </w:r>
      <w:r w:rsidRPr="008B4F4F">
        <w:rPr>
          <w:rFonts w:ascii="David" w:hAnsi="David" w:cs="David" w:hint="cs"/>
          <w:sz w:val="24"/>
          <w:szCs w:val="24"/>
          <w:rtl/>
        </w:rPr>
        <w:t xml:space="preserve"> גלומה בהוראות </w:t>
      </w:r>
      <w:r>
        <w:rPr>
          <w:rFonts w:ascii="David" w:hAnsi="David" w:cs="David" w:hint="cs"/>
          <w:sz w:val="24"/>
          <w:szCs w:val="24"/>
          <w:rtl/>
        </w:rPr>
        <w:t>אלו בהסכם הקואליציוני</w:t>
      </w:r>
      <w:r w:rsidRPr="008B4F4F">
        <w:rPr>
          <w:rFonts w:ascii="David" w:hAnsi="David" w:cs="David" w:hint="cs"/>
          <w:sz w:val="24"/>
          <w:szCs w:val="24"/>
          <w:rtl/>
        </w:rPr>
        <w:t xml:space="preserve"> אי חוקיות או פגיעה בתקנת הציבור המחייבת את ביטולן על ידי בית המשפט. עם זאת,</w:t>
      </w:r>
      <w:r>
        <w:rPr>
          <w:rFonts w:ascii="David" w:hAnsi="David" w:cs="David" w:hint="cs"/>
          <w:sz w:val="24"/>
          <w:szCs w:val="24"/>
          <w:rtl/>
        </w:rPr>
        <w:t xml:space="preserve"> נקבע כי</w:t>
      </w:r>
      <w:r w:rsidRPr="008B4F4F">
        <w:rPr>
          <w:rFonts w:ascii="David" w:hAnsi="David" w:cs="David" w:hint="cs"/>
          <w:sz w:val="24"/>
          <w:szCs w:val="24"/>
          <w:rtl/>
        </w:rPr>
        <w:t xml:space="preserve"> ככל שתתעורר סוגיה ספציפית הנוגעת ליישומה הקונקרטי של הוראה כלשהי מן ההוראות הנ"ל, ייבחנו הדברים בשעתם ולגופם.</w:t>
      </w:r>
    </w:p>
    <w:p w:rsidR="008B4F4F" w:rsidRPr="000B0916" w:rsidRDefault="008B4F4F" w:rsidP="008B4F4F">
      <w:pPr>
        <w:pStyle w:val="Ruller41"/>
        <w:rPr>
          <w:rFonts w:ascii="David" w:hAnsi="David" w:cs="David"/>
          <w:sz w:val="20"/>
          <w:szCs w:val="20"/>
          <w:rtl/>
        </w:rPr>
      </w:pPr>
    </w:p>
    <w:p w:rsidR="008B4F4F" w:rsidRDefault="008B4F4F" w:rsidP="008B4F4F">
      <w:pPr>
        <w:pStyle w:val="Ruller41"/>
        <w:rPr>
          <w:rFonts w:ascii="David" w:hAnsi="David" w:cs="David"/>
          <w:sz w:val="24"/>
          <w:szCs w:val="24"/>
          <w:rtl/>
        </w:rPr>
      </w:pPr>
      <w:r>
        <w:rPr>
          <w:rFonts w:ascii="David" w:hAnsi="David" w:cs="David" w:hint="cs"/>
          <w:sz w:val="24"/>
          <w:szCs w:val="24"/>
          <w:rtl/>
        </w:rPr>
        <w:t>עקרון הפרשנות המקיימת הוחל גם לגבי ההוראות בהסכם</w:t>
      </w:r>
      <w:r w:rsidRPr="008B4F4F">
        <w:rPr>
          <w:rFonts w:ascii="David" w:hAnsi="David" w:cs="David" w:hint="cs"/>
          <w:sz w:val="24"/>
          <w:szCs w:val="24"/>
          <w:rtl/>
        </w:rPr>
        <w:t xml:space="preserve"> הנוגעות </w:t>
      </w:r>
      <w:r w:rsidRPr="00BC2AAA">
        <w:rPr>
          <w:rFonts w:ascii="David" w:hAnsi="David" w:cs="David" w:hint="cs"/>
          <w:b/>
          <w:bCs/>
          <w:sz w:val="24"/>
          <w:szCs w:val="24"/>
          <w:rtl/>
        </w:rPr>
        <w:t>למינויים למועצות ולתאגידים שאינם חברות ממשלתיות</w:t>
      </w:r>
      <w:r>
        <w:rPr>
          <w:rFonts w:ascii="David" w:hAnsi="David" w:cs="David" w:hint="cs"/>
          <w:sz w:val="24"/>
          <w:szCs w:val="24"/>
          <w:rtl/>
        </w:rPr>
        <w:t xml:space="preserve">, ובית המשפט קיבל בהקשר זה את פרשנות היועץ המשפטי לממשלה לפיה הוראות אלו כפופות לחוק ולפסיקה בעניין מינויים בשירות הציבורי והאיסור על שקילת שיקולים פוליטיים במסגרת מינויים אלה. עם </w:t>
      </w:r>
      <w:r w:rsidRPr="008B4F4F">
        <w:rPr>
          <w:rFonts w:ascii="David" w:hAnsi="David" w:cs="David" w:hint="cs"/>
          <w:sz w:val="24"/>
          <w:szCs w:val="24"/>
          <w:rtl/>
        </w:rPr>
        <w:t xml:space="preserve">זאת, גם בהקשר זה </w:t>
      </w:r>
      <w:r>
        <w:rPr>
          <w:rFonts w:ascii="David" w:hAnsi="David" w:cs="David" w:hint="cs"/>
          <w:sz w:val="24"/>
          <w:szCs w:val="24"/>
          <w:rtl/>
        </w:rPr>
        <w:t xml:space="preserve">נקבע כי </w:t>
      </w:r>
      <w:r w:rsidRPr="008B4F4F">
        <w:rPr>
          <w:rFonts w:ascii="David" w:hAnsi="David" w:cs="David" w:hint="cs"/>
          <w:sz w:val="24"/>
          <w:szCs w:val="24"/>
          <w:rtl/>
        </w:rPr>
        <w:t xml:space="preserve">ככל שתתעורר סוגיה ספציפית הנוגעת ליישומה של ההוראה, ייבחנו הדברים בשעתם ולגופם. </w:t>
      </w:r>
    </w:p>
    <w:p w:rsidR="008B4F4F" w:rsidRPr="000B0916" w:rsidRDefault="008B4F4F" w:rsidP="008B4F4F">
      <w:pPr>
        <w:pStyle w:val="Ruller41"/>
        <w:rPr>
          <w:rFonts w:ascii="David" w:hAnsi="David" w:cs="David"/>
          <w:sz w:val="20"/>
          <w:szCs w:val="20"/>
          <w:rtl/>
        </w:rPr>
      </w:pPr>
    </w:p>
    <w:p w:rsidR="008B4F4F" w:rsidRPr="00BC2AAA" w:rsidRDefault="008B4F4F" w:rsidP="008776C8">
      <w:pPr>
        <w:pStyle w:val="Ruller41"/>
        <w:rPr>
          <w:rFonts w:ascii="David" w:hAnsi="David" w:cs="David"/>
          <w:b/>
          <w:bCs/>
          <w:sz w:val="24"/>
          <w:szCs w:val="24"/>
          <w:rtl/>
        </w:rPr>
      </w:pPr>
      <w:r>
        <w:rPr>
          <w:rFonts w:ascii="David" w:hAnsi="David" w:cs="David" w:hint="cs"/>
          <w:sz w:val="24"/>
          <w:szCs w:val="24"/>
          <w:rtl/>
        </w:rPr>
        <w:t xml:space="preserve">לסיכום, קבע בית המשפט כי </w:t>
      </w:r>
      <w:r w:rsidRPr="008B4F4F">
        <w:rPr>
          <w:rFonts w:ascii="David" w:hAnsi="David" w:cs="David" w:hint="cs"/>
          <w:sz w:val="24"/>
          <w:szCs w:val="24"/>
          <w:rtl/>
        </w:rPr>
        <w:t xml:space="preserve">מדובר </w:t>
      </w:r>
      <w:r w:rsidRPr="00BC2AAA">
        <w:rPr>
          <w:rFonts w:ascii="David" w:hAnsi="David" w:cs="David" w:hint="cs"/>
          <w:b/>
          <w:bCs/>
          <w:sz w:val="24"/>
          <w:szCs w:val="24"/>
          <w:rtl/>
        </w:rPr>
        <w:t xml:space="preserve">"בהסכם קואליציוני חריג, שחלק מהוראותיו מעוררות קשיים לא מבוטלים. כך לדוגמה, ההסכמות בעניין החוק הנורווגי המדלג, אם יוחלט להוציאן אל הפועל, הן מוקשות ביותר נוכח היותן שינוי רטרואקטיבי של </w:t>
      </w:r>
      <w:r w:rsidR="008776C8">
        <w:rPr>
          <w:rFonts w:ascii="David" w:hAnsi="David" w:cs="David" w:hint="cs"/>
          <w:b/>
          <w:bCs/>
          <w:sz w:val="24"/>
          <w:szCs w:val="24"/>
          <w:rtl/>
        </w:rPr>
        <w:t xml:space="preserve">כללי </w:t>
      </w:r>
      <w:r w:rsidRPr="00BC2AAA">
        <w:rPr>
          <w:rFonts w:ascii="David" w:hAnsi="David" w:cs="David" w:hint="cs"/>
          <w:b/>
          <w:bCs/>
          <w:sz w:val="24"/>
          <w:szCs w:val="24"/>
          <w:rtl/>
        </w:rPr>
        <w:t>המשחק</w:t>
      </w:r>
      <w:r w:rsidR="008776C8">
        <w:rPr>
          <w:rFonts w:ascii="David" w:hAnsi="David" w:cs="David" w:hint="cs"/>
          <w:b/>
          <w:bCs/>
          <w:sz w:val="24"/>
          <w:szCs w:val="24"/>
          <w:rtl/>
        </w:rPr>
        <w:t xml:space="preserve"> ושל הזכות לבחור ולהיבחר</w:t>
      </w:r>
      <w:r w:rsidRPr="00BC2AAA">
        <w:rPr>
          <w:rFonts w:ascii="David" w:hAnsi="David" w:cs="David" w:hint="cs"/>
          <w:b/>
          <w:bCs/>
          <w:sz w:val="24"/>
          <w:szCs w:val="24"/>
          <w:rtl/>
        </w:rPr>
        <w:t>. כך גם השחיקה במעמדה של האופוזיציה בישראל. עם זאת, טרם בשלה העת לבחון טענות אלה".</w:t>
      </w:r>
    </w:p>
    <w:p w:rsidR="00A62FC2" w:rsidRPr="008B4F4F" w:rsidRDefault="00A62FC2" w:rsidP="008B4F4F">
      <w:pPr>
        <w:pStyle w:val="Pskdinhead"/>
        <w:jc w:val="both"/>
        <w:rPr>
          <w:rFonts w:ascii="David" w:hAnsi="David"/>
          <w:b w:val="0"/>
          <w:bCs w:val="0"/>
          <w:spacing w:val="10"/>
          <w:sz w:val="24"/>
          <w:u w:val="none"/>
          <w:rtl/>
        </w:rPr>
      </w:pPr>
    </w:p>
    <w:sectPr w:rsidR="00A62FC2" w:rsidRPr="008B4F4F" w:rsidSect="00B14C17">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B4" w:rsidRDefault="00B142B4" w:rsidP="00C0549E">
      <w:pPr>
        <w:spacing w:after="0" w:line="240" w:lineRule="auto"/>
      </w:pPr>
      <w:r>
        <w:separator/>
      </w:r>
    </w:p>
  </w:endnote>
  <w:endnote w:type="continuationSeparator" w:id="0">
    <w:p w:rsidR="00B142B4" w:rsidRDefault="00B142B4" w:rsidP="00C0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TUR">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4351420"/>
      <w:docPartObj>
        <w:docPartGallery w:val="Page Numbers (Bottom of Page)"/>
        <w:docPartUnique/>
      </w:docPartObj>
    </w:sdtPr>
    <w:sdtEndPr>
      <w:rPr>
        <w:cs/>
      </w:rPr>
    </w:sdtEndPr>
    <w:sdtContent>
      <w:p w:rsidR="00BC2AAA" w:rsidRDefault="00BC2AAA">
        <w:pPr>
          <w:pStyle w:val="a5"/>
          <w:jc w:val="center"/>
          <w:rPr>
            <w:rtl/>
            <w:cs/>
          </w:rPr>
        </w:pPr>
        <w:r>
          <w:fldChar w:fldCharType="begin"/>
        </w:r>
        <w:r>
          <w:rPr>
            <w:rtl/>
            <w:cs/>
          </w:rPr>
          <w:instrText>PAGE   \* MERGEFORMAT</w:instrText>
        </w:r>
        <w:r>
          <w:fldChar w:fldCharType="separate"/>
        </w:r>
        <w:r w:rsidR="0073726C" w:rsidRPr="0073726C">
          <w:rPr>
            <w:noProof/>
            <w:rtl/>
            <w:lang w:val="he-IL"/>
          </w:rPr>
          <w:t>1</w:t>
        </w:r>
        <w:r>
          <w:fldChar w:fldCharType="end"/>
        </w:r>
      </w:p>
    </w:sdtContent>
  </w:sdt>
  <w:p w:rsidR="00BC2AAA" w:rsidRDefault="00BC2A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B4" w:rsidRDefault="00B142B4" w:rsidP="00C0549E">
      <w:pPr>
        <w:spacing w:after="0" w:line="240" w:lineRule="auto"/>
      </w:pPr>
      <w:r>
        <w:separator/>
      </w:r>
    </w:p>
  </w:footnote>
  <w:footnote w:type="continuationSeparator" w:id="0">
    <w:p w:rsidR="00B142B4" w:rsidRDefault="00B142B4" w:rsidP="00C0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E" w:rsidRDefault="00C0549E" w:rsidP="00C0549E">
    <w:pPr>
      <w:pStyle w:val="a3"/>
      <w:jc w:val="center"/>
    </w:pPr>
    <w:r w:rsidRPr="0012560F">
      <w:rPr>
        <w:noProof/>
      </w:rPr>
      <w:drawing>
        <wp:inline distT="0" distB="0" distL="0" distR="0">
          <wp:extent cx="526415" cy="621665"/>
          <wp:effectExtent l="0" t="0" r="6985" b="6985"/>
          <wp:docPr id="1" name="תמונה 1"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621665"/>
                  </a:xfrm>
                  <a:prstGeom prst="rect">
                    <a:avLst/>
                  </a:prstGeom>
                  <a:noFill/>
                  <a:ln>
                    <a:noFill/>
                  </a:ln>
                </pic:spPr>
              </pic:pic>
            </a:graphicData>
          </a:graphic>
        </wp:inline>
      </w:drawing>
    </w:r>
  </w:p>
  <w:p w:rsidR="00C0549E" w:rsidRDefault="00C054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5F4482"/>
    <w:multiLevelType w:val="hybridMultilevel"/>
    <w:tmpl w:val="A84C0436"/>
    <w:lvl w:ilvl="0" w:tplc="2D0EBA6E">
      <w:start w:val="1"/>
      <w:numFmt w:val="hebrew1"/>
      <w:lvlText w:val="(%1)"/>
      <w:lvlJc w:val="left"/>
      <w:pPr>
        <w:ind w:left="720" w:hanging="360"/>
      </w:pPr>
      <w:rPr>
        <w:rFonts w:ascii="Arial TUR" w:hAnsi="Arial T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FB"/>
    <w:rsid w:val="00016049"/>
    <w:rsid w:val="00056A3C"/>
    <w:rsid w:val="00063DC3"/>
    <w:rsid w:val="000B0916"/>
    <w:rsid w:val="000B311B"/>
    <w:rsid w:val="000C3286"/>
    <w:rsid w:val="000F38B6"/>
    <w:rsid w:val="00115FC6"/>
    <w:rsid w:val="00130B99"/>
    <w:rsid w:val="001613DE"/>
    <w:rsid w:val="001D55F2"/>
    <w:rsid w:val="002558BF"/>
    <w:rsid w:val="00285C4A"/>
    <w:rsid w:val="002A04AB"/>
    <w:rsid w:val="00313E69"/>
    <w:rsid w:val="00317523"/>
    <w:rsid w:val="00336C46"/>
    <w:rsid w:val="003447FB"/>
    <w:rsid w:val="003922AF"/>
    <w:rsid w:val="004147E6"/>
    <w:rsid w:val="004677A6"/>
    <w:rsid w:val="004E6A4C"/>
    <w:rsid w:val="005A6B0E"/>
    <w:rsid w:val="005D7796"/>
    <w:rsid w:val="00690AEC"/>
    <w:rsid w:val="007001F6"/>
    <w:rsid w:val="007054FF"/>
    <w:rsid w:val="0073726C"/>
    <w:rsid w:val="00754A46"/>
    <w:rsid w:val="007B3BAF"/>
    <w:rsid w:val="007B7695"/>
    <w:rsid w:val="007C5F14"/>
    <w:rsid w:val="007D310F"/>
    <w:rsid w:val="007E7BE0"/>
    <w:rsid w:val="007F3E40"/>
    <w:rsid w:val="007F77C3"/>
    <w:rsid w:val="00811E25"/>
    <w:rsid w:val="00852D6C"/>
    <w:rsid w:val="0086090E"/>
    <w:rsid w:val="00876546"/>
    <w:rsid w:val="008776C8"/>
    <w:rsid w:val="00892FEB"/>
    <w:rsid w:val="008B4F4F"/>
    <w:rsid w:val="00945D3F"/>
    <w:rsid w:val="00953B2E"/>
    <w:rsid w:val="00965318"/>
    <w:rsid w:val="009B0C46"/>
    <w:rsid w:val="009D095B"/>
    <w:rsid w:val="009E2E85"/>
    <w:rsid w:val="009F5BEE"/>
    <w:rsid w:val="00A3521E"/>
    <w:rsid w:val="00A41617"/>
    <w:rsid w:val="00A62FC2"/>
    <w:rsid w:val="00A70802"/>
    <w:rsid w:val="00AC0598"/>
    <w:rsid w:val="00AE0AA1"/>
    <w:rsid w:val="00AF072F"/>
    <w:rsid w:val="00AF5C3D"/>
    <w:rsid w:val="00B142B4"/>
    <w:rsid w:val="00B14C17"/>
    <w:rsid w:val="00B54E9D"/>
    <w:rsid w:val="00BA76F9"/>
    <w:rsid w:val="00BC2AAA"/>
    <w:rsid w:val="00C0549E"/>
    <w:rsid w:val="00C22330"/>
    <w:rsid w:val="00C529AA"/>
    <w:rsid w:val="00C979EE"/>
    <w:rsid w:val="00D5338B"/>
    <w:rsid w:val="00DA6CEE"/>
    <w:rsid w:val="00DD489F"/>
    <w:rsid w:val="00DF4C6F"/>
    <w:rsid w:val="00E27080"/>
    <w:rsid w:val="00ED75CE"/>
    <w:rsid w:val="00F15D3F"/>
    <w:rsid w:val="00F35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A70284-9EB8-4B2F-AEAC-9DDF2A95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 4 ממוספר"/>
    <w:basedOn w:val="a"/>
    <w:next w:val="a"/>
    <w:link w:val="Ruller40"/>
    <w:rsid w:val="003447FB"/>
    <w:pPr>
      <w:numPr>
        <w:numId w:val="1"/>
      </w:numPr>
      <w:tabs>
        <w:tab w:val="left" w:pos="800"/>
      </w:tabs>
      <w:overflowPunct w:val="0"/>
      <w:autoSpaceDE w:val="0"/>
      <w:autoSpaceDN w:val="0"/>
      <w:adjustRightInd w:val="0"/>
      <w:spacing w:after="0" w:line="240" w:lineRule="auto"/>
      <w:jc w:val="both"/>
    </w:pPr>
    <w:rPr>
      <w:rFonts w:ascii="Garamond" w:eastAsia="Times New Roman" w:hAnsi="Garamond" w:cs="David"/>
      <w:sz w:val="24"/>
      <w:szCs w:val="24"/>
    </w:rPr>
  </w:style>
  <w:style w:type="paragraph" w:customStyle="1" w:styleId="Ruller41">
    <w:name w:val="Ruller4"/>
    <w:basedOn w:val="a"/>
    <w:link w:val="Ruller42"/>
    <w:rsid w:val="00E27080"/>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character" w:customStyle="1" w:styleId="Ruller42">
    <w:name w:val="Ruller4 תו"/>
    <w:link w:val="Ruller41"/>
    <w:locked/>
    <w:rsid w:val="00E27080"/>
    <w:rPr>
      <w:rFonts w:ascii="Arial TUR" w:eastAsia="Times New Roman" w:hAnsi="Arial TUR" w:cs="FrankRuehl"/>
      <w:spacing w:val="10"/>
      <w:szCs w:val="28"/>
    </w:rPr>
  </w:style>
  <w:style w:type="paragraph" w:styleId="a3">
    <w:name w:val="header"/>
    <w:basedOn w:val="a"/>
    <w:link w:val="a4"/>
    <w:uiPriority w:val="99"/>
    <w:unhideWhenUsed/>
    <w:rsid w:val="00C0549E"/>
    <w:pPr>
      <w:tabs>
        <w:tab w:val="center" w:pos="4153"/>
        <w:tab w:val="right" w:pos="8306"/>
      </w:tabs>
      <w:spacing w:after="0" w:line="240" w:lineRule="auto"/>
    </w:pPr>
  </w:style>
  <w:style w:type="character" w:customStyle="1" w:styleId="a4">
    <w:name w:val="כותרת עליונה תו"/>
    <w:basedOn w:val="a0"/>
    <w:link w:val="a3"/>
    <w:uiPriority w:val="99"/>
    <w:rsid w:val="00C0549E"/>
  </w:style>
  <w:style w:type="paragraph" w:styleId="a5">
    <w:name w:val="footer"/>
    <w:basedOn w:val="a"/>
    <w:link w:val="a6"/>
    <w:uiPriority w:val="99"/>
    <w:unhideWhenUsed/>
    <w:rsid w:val="00C0549E"/>
    <w:pPr>
      <w:tabs>
        <w:tab w:val="center" w:pos="4153"/>
        <w:tab w:val="right" w:pos="8306"/>
      </w:tabs>
      <w:spacing w:after="0" w:line="240" w:lineRule="auto"/>
    </w:pPr>
  </w:style>
  <w:style w:type="character" w:customStyle="1" w:styleId="a6">
    <w:name w:val="כותרת תחתונה תו"/>
    <w:basedOn w:val="a0"/>
    <w:link w:val="a5"/>
    <w:uiPriority w:val="99"/>
    <w:rsid w:val="00C0549E"/>
  </w:style>
  <w:style w:type="paragraph" w:customStyle="1" w:styleId="p00">
    <w:name w:val="p00"/>
    <w:basedOn w:val="a"/>
    <w:rsid w:val="007C5F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7C5F14"/>
  </w:style>
  <w:style w:type="paragraph" w:styleId="a7">
    <w:name w:val="Balloon Text"/>
    <w:basedOn w:val="a"/>
    <w:link w:val="a8"/>
    <w:uiPriority w:val="99"/>
    <w:semiHidden/>
    <w:unhideWhenUsed/>
    <w:rsid w:val="00BA76F9"/>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BA76F9"/>
    <w:rPr>
      <w:rFonts w:ascii="Tahoma" w:hAnsi="Tahoma" w:cs="Tahoma"/>
      <w:sz w:val="18"/>
      <w:szCs w:val="18"/>
    </w:rPr>
  </w:style>
  <w:style w:type="paragraph" w:customStyle="1" w:styleId="bodyruller">
    <w:name w:val="bodyruller"/>
    <w:basedOn w:val="a"/>
    <w:rsid w:val="008B4F4F"/>
    <w:pPr>
      <w:bidi w:val="0"/>
      <w:spacing w:after="150" w:line="240" w:lineRule="auto"/>
    </w:pPr>
    <w:rPr>
      <w:rFonts w:ascii="Times New Roman" w:eastAsia="Times New Roman" w:hAnsi="Times New Roman" w:cs="Times New Roman"/>
      <w:sz w:val="24"/>
      <w:szCs w:val="24"/>
    </w:rPr>
  </w:style>
  <w:style w:type="paragraph" w:customStyle="1" w:styleId="filenumber">
    <w:name w:val="filenumber"/>
    <w:basedOn w:val="a"/>
    <w:rsid w:val="008B4F4F"/>
    <w:pPr>
      <w:bidi w:val="0"/>
      <w:spacing w:after="150" w:line="240" w:lineRule="auto"/>
    </w:pPr>
    <w:rPr>
      <w:rFonts w:ascii="Times New Roman" w:eastAsia="Times New Roman" w:hAnsi="Times New Roman" w:cs="Times New Roman"/>
      <w:sz w:val="24"/>
      <w:szCs w:val="24"/>
    </w:rPr>
  </w:style>
  <w:style w:type="character" w:customStyle="1" w:styleId="Ruller40">
    <w:name w:val="Ruller 4 ממוספר תו"/>
    <w:link w:val="Ruller4"/>
    <w:locked/>
    <w:rsid w:val="008B4F4F"/>
    <w:rPr>
      <w:rFonts w:ascii="Garamond" w:eastAsia="Times New Roman" w:hAnsi="Garamond" w:cs="David"/>
      <w:sz w:val="24"/>
      <w:szCs w:val="24"/>
    </w:rPr>
  </w:style>
  <w:style w:type="paragraph" w:customStyle="1" w:styleId="Pskdinhead">
    <w:name w:val="Pskdin head"/>
    <w:basedOn w:val="a"/>
    <w:rsid w:val="008B4F4F"/>
    <w:pPr>
      <w:overflowPunct w:val="0"/>
      <w:autoSpaceDE w:val="0"/>
      <w:autoSpaceDN w:val="0"/>
      <w:adjustRightInd w:val="0"/>
      <w:spacing w:after="0" w:line="360" w:lineRule="auto"/>
      <w:textAlignment w:val="baseline"/>
    </w:pPr>
    <w:rPr>
      <w:rFonts w:ascii="Times New Roman" w:eastAsia="Times New Roman" w:hAnsi="Times New Roman" w:cs="David"/>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024">
      <w:bodyDiv w:val="1"/>
      <w:marLeft w:val="0"/>
      <w:marRight w:val="0"/>
      <w:marTop w:val="0"/>
      <w:marBottom w:val="0"/>
      <w:divBdr>
        <w:top w:val="none" w:sz="0" w:space="0" w:color="auto"/>
        <w:left w:val="none" w:sz="0" w:space="0" w:color="auto"/>
        <w:bottom w:val="none" w:sz="0" w:space="0" w:color="auto"/>
        <w:right w:val="none" w:sz="0" w:space="0" w:color="auto"/>
      </w:divBdr>
      <w:divsChild>
        <w:div w:id="687214513">
          <w:marLeft w:val="0"/>
          <w:marRight w:val="0"/>
          <w:marTop w:val="0"/>
          <w:marBottom w:val="0"/>
          <w:divBdr>
            <w:top w:val="none" w:sz="0" w:space="0" w:color="auto"/>
            <w:left w:val="none" w:sz="0" w:space="0" w:color="auto"/>
            <w:bottom w:val="none" w:sz="0" w:space="0" w:color="auto"/>
            <w:right w:val="none" w:sz="0" w:space="0" w:color="auto"/>
          </w:divBdr>
        </w:div>
      </w:divsChild>
    </w:div>
    <w:div w:id="795102594">
      <w:bodyDiv w:val="1"/>
      <w:marLeft w:val="0"/>
      <w:marRight w:val="0"/>
      <w:marTop w:val="0"/>
      <w:marBottom w:val="0"/>
      <w:divBdr>
        <w:top w:val="none" w:sz="0" w:space="0" w:color="auto"/>
        <w:left w:val="none" w:sz="0" w:space="0" w:color="auto"/>
        <w:bottom w:val="none" w:sz="0" w:space="0" w:color="auto"/>
        <w:right w:val="none" w:sz="0" w:space="0" w:color="auto"/>
      </w:divBdr>
    </w:div>
    <w:div w:id="1393508232">
      <w:bodyDiv w:val="1"/>
      <w:marLeft w:val="0"/>
      <w:marRight w:val="0"/>
      <w:marTop w:val="0"/>
      <w:marBottom w:val="0"/>
      <w:divBdr>
        <w:top w:val="none" w:sz="0" w:space="0" w:color="auto"/>
        <w:left w:val="none" w:sz="0" w:space="0" w:color="auto"/>
        <w:bottom w:val="none" w:sz="0" w:space="0" w:color="auto"/>
        <w:right w:val="none" w:sz="0" w:space="0" w:color="auto"/>
      </w:divBdr>
    </w:div>
    <w:div w:id="1492216877">
      <w:bodyDiv w:val="1"/>
      <w:marLeft w:val="0"/>
      <w:marRight w:val="0"/>
      <w:marTop w:val="0"/>
      <w:marBottom w:val="0"/>
      <w:divBdr>
        <w:top w:val="none" w:sz="0" w:space="0" w:color="auto"/>
        <w:left w:val="none" w:sz="0" w:space="0" w:color="auto"/>
        <w:bottom w:val="none" w:sz="0" w:space="0" w:color="auto"/>
        <w:right w:val="none" w:sz="0" w:space="0" w:color="auto"/>
      </w:divBdr>
      <w:divsChild>
        <w:div w:id="551354417">
          <w:marLeft w:val="0"/>
          <w:marRight w:val="0"/>
          <w:marTop w:val="0"/>
          <w:marBottom w:val="0"/>
          <w:divBdr>
            <w:top w:val="none" w:sz="0" w:space="0" w:color="auto"/>
            <w:left w:val="none" w:sz="0" w:space="0" w:color="auto"/>
            <w:bottom w:val="none" w:sz="0" w:space="0" w:color="auto"/>
            <w:right w:val="none" w:sz="0" w:space="0" w:color="auto"/>
          </w:divBdr>
          <w:divsChild>
            <w:div w:id="1216039181">
              <w:marLeft w:val="0"/>
              <w:marRight w:val="0"/>
              <w:marTop w:val="0"/>
              <w:marBottom w:val="0"/>
              <w:divBdr>
                <w:top w:val="none" w:sz="0" w:space="0" w:color="auto"/>
                <w:left w:val="none" w:sz="0" w:space="0" w:color="auto"/>
                <w:bottom w:val="none" w:sz="0" w:space="0" w:color="auto"/>
                <w:right w:val="none" w:sz="0" w:space="0" w:color="auto"/>
              </w:divBdr>
              <w:divsChild>
                <w:div w:id="1073311767">
                  <w:marLeft w:val="0"/>
                  <w:marRight w:val="0"/>
                  <w:marTop w:val="0"/>
                  <w:marBottom w:val="0"/>
                  <w:divBdr>
                    <w:top w:val="none" w:sz="0" w:space="0" w:color="auto"/>
                    <w:left w:val="none" w:sz="0" w:space="0" w:color="auto"/>
                    <w:bottom w:val="none" w:sz="0" w:space="0" w:color="auto"/>
                    <w:right w:val="none" w:sz="0" w:space="0" w:color="auto"/>
                  </w:divBdr>
                  <w:divsChild>
                    <w:div w:id="399331382">
                      <w:marLeft w:val="0"/>
                      <w:marRight w:val="0"/>
                      <w:marTop w:val="0"/>
                      <w:marBottom w:val="0"/>
                      <w:divBdr>
                        <w:top w:val="none" w:sz="0" w:space="0" w:color="auto"/>
                        <w:left w:val="none" w:sz="0" w:space="0" w:color="auto"/>
                        <w:bottom w:val="none" w:sz="0" w:space="0" w:color="auto"/>
                        <w:right w:val="none" w:sz="0" w:space="0" w:color="auto"/>
                      </w:divBdr>
                      <w:divsChild>
                        <w:div w:id="2084179065">
                          <w:marLeft w:val="0"/>
                          <w:marRight w:val="0"/>
                          <w:marTop w:val="0"/>
                          <w:marBottom w:val="0"/>
                          <w:divBdr>
                            <w:top w:val="none" w:sz="0" w:space="0" w:color="auto"/>
                            <w:left w:val="none" w:sz="0" w:space="0" w:color="auto"/>
                            <w:bottom w:val="none" w:sz="0" w:space="0" w:color="auto"/>
                            <w:right w:val="none" w:sz="0" w:space="0" w:color="auto"/>
                          </w:divBdr>
                          <w:divsChild>
                            <w:div w:id="1746872970">
                              <w:marLeft w:val="0"/>
                              <w:marRight w:val="0"/>
                              <w:marTop w:val="0"/>
                              <w:marBottom w:val="0"/>
                              <w:divBdr>
                                <w:top w:val="none" w:sz="0" w:space="0" w:color="auto"/>
                                <w:left w:val="none" w:sz="0" w:space="0" w:color="auto"/>
                                <w:bottom w:val="none" w:sz="0" w:space="0" w:color="auto"/>
                                <w:right w:val="none" w:sz="0" w:space="0" w:color="auto"/>
                              </w:divBdr>
                              <w:divsChild>
                                <w:div w:id="222329210">
                                  <w:marLeft w:val="0"/>
                                  <w:marRight w:val="0"/>
                                  <w:marTop w:val="0"/>
                                  <w:marBottom w:val="0"/>
                                  <w:divBdr>
                                    <w:top w:val="none" w:sz="0" w:space="0" w:color="auto"/>
                                    <w:left w:val="single" w:sz="48" w:space="0" w:color="525659"/>
                                    <w:bottom w:val="none" w:sz="0" w:space="0" w:color="auto"/>
                                    <w:right w:val="single" w:sz="48" w:space="0" w:color="525659"/>
                                  </w:divBdr>
                                  <w:divsChild>
                                    <w:div w:id="10972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F198-D29D-453F-AC37-8F7ADD25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5112</Characters>
  <Application>Microsoft Office Word</Application>
  <DocSecurity>4</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מוטי גולן</cp:lastModifiedBy>
  <cp:revision>2</cp:revision>
  <cp:lastPrinted>2020-05-06T19:27:00Z</cp:lastPrinted>
  <dcterms:created xsi:type="dcterms:W3CDTF">2020-05-06T20:11:00Z</dcterms:created>
  <dcterms:modified xsi:type="dcterms:W3CDTF">2020-05-06T20:11:00Z</dcterms:modified>
</cp:coreProperties>
</file>