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123" w:rsidRPr="00844D77" w:rsidRDefault="001477AA" w:rsidP="001477AA">
      <w:pPr>
        <w:keepNext/>
        <w:tabs>
          <w:tab w:val="center" w:pos="6605"/>
        </w:tabs>
        <w:overflowPunct w:val="0"/>
        <w:autoSpaceDE w:val="0"/>
        <w:autoSpaceDN w:val="0"/>
        <w:adjustRightInd w:val="0"/>
        <w:spacing w:after="0" w:line="240" w:lineRule="auto"/>
        <w:jc w:val="right"/>
        <w:textAlignment w:val="baseline"/>
        <w:outlineLvl w:val="0"/>
        <w:rPr>
          <w:rFonts w:ascii="David" w:eastAsia="Times New Roman" w:hAnsi="David" w:cs="David"/>
          <w:noProof/>
          <w:color w:val="002060"/>
          <w:sz w:val="16"/>
          <w:szCs w:val="16"/>
        </w:rPr>
      </w:pPr>
      <w:r w:rsidRPr="00844D77">
        <w:rPr>
          <w:rFonts w:ascii="David" w:eastAsia="Times New Roman" w:hAnsi="David" w:cs="David"/>
          <w:noProof/>
          <w:color w:val="002060"/>
          <w:sz w:val="16"/>
          <w:szCs w:val="16"/>
          <w:rtl/>
        </w:rPr>
        <w:t xml:space="preserve">ירושלים: </w:t>
      </w:r>
      <w:r w:rsidR="00983123" w:rsidRPr="00844D77">
        <w:rPr>
          <w:rFonts w:ascii="David" w:eastAsia="Times New Roman" w:hAnsi="David" w:cs="David"/>
          <w:noProof/>
          <w:color w:val="002060"/>
          <w:sz w:val="16"/>
          <w:szCs w:val="16"/>
          <w:rtl/>
        </w:rPr>
        <w:fldChar w:fldCharType="begin"/>
      </w:r>
      <w:r w:rsidR="00983123" w:rsidRPr="00844D77">
        <w:rPr>
          <w:rFonts w:ascii="David" w:eastAsia="Times New Roman" w:hAnsi="David" w:cs="David"/>
          <w:noProof/>
          <w:color w:val="002060"/>
          <w:sz w:val="16"/>
          <w:szCs w:val="16"/>
          <w:rtl/>
        </w:rPr>
        <w:instrText xml:space="preserve"> </w:instrText>
      </w:r>
      <w:r w:rsidR="00983123" w:rsidRPr="00844D77">
        <w:rPr>
          <w:rFonts w:ascii="David" w:eastAsia="Times New Roman" w:hAnsi="David" w:cs="David"/>
          <w:noProof/>
          <w:color w:val="002060"/>
          <w:sz w:val="16"/>
          <w:szCs w:val="16"/>
        </w:rPr>
        <w:instrText>DOCPROPERTY  DocDateEng  \* MERGEFORMAT</w:instrText>
      </w:r>
      <w:r w:rsidR="00983123" w:rsidRPr="00844D77">
        <w:rPr>
          <w:rFonts w:ascii="David" w:eastAsia="Times New Roman" w:hAnsi="David" w:cs="David"/>
          <w:noProof/>
          <w:color w:val="002060"/>
          <w:sz w:val="16"/>
          <w:szCs w:val="16"/>
          <w:rtl/>
        </w:rPr>
        <w:instrText xml:space="preserve"> </w:instrText>
      </w:r>
      <w:r w:rsidR="00983123" w:rsidRPr="00844D77">
        <w:rPr>
          <w:rFonts w:ascii="David" w:eastAsia="Times New Roman" w:hAnsi="David" w:cs="David"/>
          <w:noProof/>
          <w:color w:val="002060"/>
          <w:sz w:val="16"/>
          <w:szCs w:val="16"/>
          <w:rtl/>
        </w:rPr>
        <w:fldChar w:fldCharType="separate"/>
      </w:r>
      <w:r w:rsidR="00983123" w:rsidRPr="00844D77">
        <w:rPr>
          <w:rFonts w:ascii="David" w:eastAsia="Times New Roman" w:hAnsi="David" w:cs="David"/>
          <w:noProof/>
          <w:color w:val="002060"/>
          <w:sz w:val="16"/>
          <w:szCs w:val="16"/>
          <w:rtl/>
        </w:rPr>
        <w:t>13 באפריל 2020</w:t>
      </w:r>
      <w:r w:rsidR="00983123" w:rsidRPr="00844D77">
        <w:rPr>
          <w:rFonts w:ascii="David" w:eastAsia="Times New Roman" w:hAnsi="David" w:cs="David"/>
          <w:noProof/>
          <w:color w:val="002060"/>
          <w:sz w:val="16"/>
          <w:szCs w:val="16"/>
          <w:rtl/>
        </w:rPr>
        <w:fldChar w:fldCharType="end"/>
      </w:r>
    </w:p>
    <w:p w:rsidR="00983123" w:rsidRPr="00844D77" w:rsidRDefault="00983123" w:rsidP="001477AA">
      <w:pPr>
        <w:keepNext/>
        <w:tabs>
          <w:tab w:val="center" w:pos="6605"/>
        </w:tabs>
        <w:overflowPunct w:val="0"/>
        <w:autoSpaceDE w:val="0"/>
        <w:autoSpaceDN w:val="0"/>
        <w:adjustRightInd w:val="0"/>
        <w:spacing w:after="0" w:line="240" w:lineRule="auto"/>
        <w:jc w:val="right"/>
        <w:textAlignment w:val="baseline"/>
        <w:outlineLvl w:val="0"/>
        <w:rPr>
          <w:rFonts w:ascii="David" w:eastAsia="Times New Roman" w:hAnsi="David" w:cs="David"/>
          <w:noProof/>
          <w:color w:val="002060"/>
          <w:sz w:val="16"/>
          <w:szCs w:val="16"/>
          <w:rtl/>
        </w:rPr>
      </w:pPr>
      <w:r w:rsidRPr="00844D77">
        <w:rPr>
          <w:rFonts w:ascii="David" w:eastAsia="Times New Roman" w:hAnsi="David" w:cs="David"/>
          <w:noProof/>
          <w:color w:val="002060"/>
          <w:sz w:val="16"/>
          <w:szCs w:val="16"/>
          <w:rtl/>
        </w:rPr>
        <w:t xml:space="preserve">                                                                                                   </w:t>
      </w:r>
      <w:r w:rsidRPr="00844D77">
        <w:rPr>
          <w:rFonts w:ascii="David" w:eastAsia="Times New Roman" w:hAnsi="David" w:cs="David"/>
          <w:noProof/>
          <w:color w:val="002060"/>
          <w:sz w:val="16"/>
          <w:szCs w:val="16"/>
          <w:rtl/>
        </w:rPr>
        <w:fldChar w:fldCharType="begin"/>
      </w:r>
      <w:r w:rsidRPr="00844D77">
        <w:rPr>
          <w:rFonts w:ascii="David" w:eastAsia="Times New Roman" w:hAnsi="David" w:cs="David"/>
          <w:noProof/>
          <w:color w:val="002060"/>
          <w:sz w:val="16"/>
          <w:szCs w:val="16"/>
          <w:rtl/>
        </w:rPr>
        <w:instrText xml:space="preserve"> </w:instrText>
      </w:r>
      <w:r w:rsidRPr="00844D77">
        <w:rPr>
          <w:rFonts w:ascii="David" w:eastAsia="Times New Roman" w:hAnsi="David" w:cs="David"/>
          <w:noProof/>
          <w:color w:val="002060"/>
          <w:sz w:val="16"/>
          <w:szCs w:val="16"/>
        </w:rPr>
        <w:instrText>DOCPROPERTY  DocDateHeb  \* MERGEFORMAT</w:instrText>
      </w:r>
      <w:r w:rsidRPr="00844D77">
        <w:rPr>
          <w:rFonts w:ascii="David" w:eastAsia="Times New Roman" w:hAnsi="David" w:cs="David"/>
          <w:noProof/>
          <w:color w:val="002060"/>
          <w:sz w:val="16"/>
          <w:szCs w:val="16"/>
          <w:rtl/>
        </w:rPr>
        <w:instrText xml:space="preserve"> </w:instrText>
      </w:r>
      <w:r w:rsidRPr="00844D77">
        <w:rPr>
          <w:rFonts w:ascii="David" w:eastAsia="Times New Roman" w:hAnsi="David" w:cs="David"/>
          <w:noProof/>
          <w:color w:val="002060"/>
          <w:sz w:val="16"/>
          <w:szCs w:val="16"/>
          <w:rtl/>
        </w:rPr>
        <w:fldChar w:fldCharType="separate"/>
      </w:r>
      <w:r w:rsidRPr="00844D77">
        <w:rPr>
          <w:rFonts w:ascii="David" w:eastAsia="Times New Roman" w:hAnsi="David" w:cs="David"/>
          <w:noProof/>
          <w:color w:val="002060"/>
          <w:sz w:val="16"/>
          <w:szCs w:val="16"/>
          <w:rtl/>
        </w:rPr>
        <w:t>י"ט בניסן תש"ף</w:t>
      </w:r>
      <w:r w:rsidRPr="00844D77">
        <w:rPr>
          <w:rFonts w:ascii="David" w:eastAsia="Times New Roman" w:hAnsi="David" w:cs="David"/>
          <w:noProof/>
          <w:color w:val="002060"/>
          <w:sz w:val="16"/>
          <w:szCs w:val="16"/>
          <w:rtl/>
        </w:rPr>
        <w:fldChar w:fldCharType="end"/>
      </w:r>
    </w:p>
    <w:p w:rsidR="00983123" w:rsidRPr="00844D77" w:rsidRDefault="00983123" w:rsidP="001477AA">
      <w:pPr>
        <w:keepNext/>
        <w:tabs>
          <w:tab w:val="center" w:pos="6605"/>
        </w:tabs>
        <w:overflowPunct w:val="0"/>
        <w:autoSpaceDE w:val="0"/>
        <w:autoSpaceDN w:val="0"/>
        <w:adjustRightInd w:val="0"/>
        <w:spacing w:after="0" w:line="240" w:lineRule="auto"/>
        <w:jc w:val="right"/>
        <w:textAlignment w:val="baseline"/>
        <w:outlineLvl w:val="0"/>
        <w:rPr>
          <w:rFonts w:ascii="David" w:eastAsia="Times New Roman" w:hAnsi="David" w:cs="David"/>
          <w:noProof/>
          <w:color w:val="002060"/>
          <w:sz w:val="18"/>
          <w:szCs w:val="18"/>
          <w:rtl/>
        </w:rPr>
      </w:pPr>
      <w:r w:rsidRPr="00844D77">
        <w:rPr>
          <w:rFonts w:ascii="David" w:eastAsia="Times New Roman" w:hAnsi="David" w:cs="David"/>
          <w:noProof/>
          <w:color w:val="002060"/>
          <w:sz w:val="16"/>
          <w:szCs w:val="16"/>
          <w:rtl/>
        </w:rPr>
        <w:fldChar w:fldCharType="begin"/>
      </w:r>
      <w:r w:rsidRPr="00844D77">
        <w:rPr>
          <w:rFonts w:ascii="David" w:eastAsia="Times New Roman" w:hAnsi="David" w:cs="David"/>
          <w:noProof/>
          <w:color w:val="002060"/>
          <w:sz w:val="16"/>
          <w:szCs w:val="16"/>
          <w:rtl/>
        </w:rPr>
        <w:instrText xml:space="preserve"> </w:instrText>
      </w:r>
      <w:r w:rsidRPr="00844D77">
        <w:rPr>
          <w:rFonts w:ascii="David" w:eastAsia="Times New Roman" w:hAnsi="David" w:cs="David"/>
          <w:noProof/>
          <w:color w:val="002060"/>
          <w:sz w:val="16"/>
          <w:szCs w:val="16"/>
        </w:rPr>
        <w:instrText>DOCPROPERTY  DocNumber  \* MERGEFORMAT</w:instrText>
      </w:r>
      <w:r w:rsidRPr="00844D77">
        <w:rPr>
          <w:rFonts w:ascii="David" w:eastAsia="Times New Roman" w:hAnsi="David" w:cs="David"/>
          <w:noProof/>
          <w:color w:val="002060"/>
          <w:sz w:val="16"/>
          <w:szCs w:val="16"/>
          <w:rtl/>
        </w:rPr>
        <w:instrText xml:space="preserve"> </w:instrText>
      </w:r>
      <w:r w:rsidRPr="00844D77">
        <w:rPr>
          <w:rFonts w:ascii="David" w:eastAsia="Times New Roman" w:hAnsi="David" w:cs="David"/>
          <w:noProof/>
          <w:color w:val="002060"/>
          <w:sz w:val="16"/>
          <w:szCs w:val="16"/>
          <w:rtl/>
        </w:rPr>
        <w:fldChar w:fldCharType="separate"/>
      </w:r>
      <w:r w:rsidRPr="00844D77">
        <w:rPr>
          <w:rFonts w:ascii="David" w:eastAsia="Times New Roman" w:hAnsi="David" w:cs="David"/>
          <w:noProof/>
          <w:color w:val="002060"/>
          <w:sz w:val="16"/>
          <w:szCs w:val="16"/>
          <w:rtl/>
        </w:rPr>
        <w:t>4700-1039-2020-180484</w:t>
      </w:r>
      <w:r w:rsidRPr="00844D77">
        <w:rPr>
          <w:rFonts w:ascii="David" w:eastAsia="Times New Roman" w:hAnsi="David" w:cs="David"/>
          <w:noProof/>
          <w:color w:val="002060"/>
          <w:sz w:val="16"/>
          <w:szCs w:val="16"/>
          <w:rtl/>
        </w:rPr>
        <w:fldChar w:fldCharType="end"/>
      </w:r>
    </w:p>
    <w:p w:rsidR="00844D77" w:rsidRPr="00844D77" w:rsidRDefault="00844D77" w:rsidP="00844D77">
      <w:pPr>
        <w:spacing w:before="100" w:beforeAutospacing="1" w:after="100" w:afterAutospacing="1" w:line="360" w:lineRule="auto"/>
        <w:jc w:val="center"/>
        <w:rPr>
          <w:rFonts w:cs="David"/>
          <w:b/>
          <w:bCs/>
          <w:color w:val="002060"/>
          <w:sz w:val="28"/>
          <w:szCs w:val="28"/>
          <w:u w:val="single"/>
        </w:rPr>
      </w:pPr>
      <w:r w:rsidRPr="00844D77">
        <w:rPr>
          <w:rFonts w:cs="David"/>
          <w:b/>
          <w:bCs/>
          <w:color w:val="002060"/>
          <w:sz w:val="28"/>
          <w:szCs w:val="28"/>
          <w:u w:val="single"/>
          <w:rtl/>
        </w:rPr>
        <w:t>בית המשפט העליון יחל בקרוב בפרויקט ניסיוני שבמסגרתו יועברו בשידור חי די</w:t>
      </w:r>
      <w:r w:rsidRPr="00844D77">
        <w:rPr>
          <w:rFonts w:cs="David"/>
          <w:b/>
          <w:bCs/>
          <w:color w:val="002060"/>
          <w:sz w:val="28"/>
          <w:szCs w:val="28"/>
          <w:u w:val="single"/>
          <w:rtl/>
        </w:rPr>
        <w:t>ונים נבחרים של בית המשפט העליון</w:t>
      </w:r>
    </w:p>
    <w:p w:rsidR="00844D77" w:rsidRPr="00844D77" w:rsidRDefault="00844D77" w:rsidP="00844D77">
      <w:pPr>
        <w:spacing w:before="100" w:beforeAutospacing="1" w:after="100" w:afterAutospacing="1" w:line="360" w:lineRule="auto"/>
        <w:jc w:val="both"/>
        <w:rPr>
          <w:rFonts w:cs="David"/>
          <w:color w:val="002060"/>
          <w:sz w:val="21"/>
          <w:szCs w:val="21"/>
        </w:rPr>
      </w:pPr>
      <w:r w:rsidRPr="00844D77">
        <w:rPr>
          <w:rFonts w:cs="David"/>
          <w:color w:val="002060"/>
          <w:sz w:val="21"/>
          <w:szCs w:val="21"/>
          <w:rtl/>
        </w:rPr>
        <w:t>הרשות השופטת משלימה בימים אלה את שלב ההיערכות לפרויקט הניסיוני שבמסגרתו יועברו בשידור חי דיונים נבחרים של בית המשפט העליון. זאת בהתאם להוראות נוהל של נשיאת בית המשפט העליון</w:t>
      </w:r>
      <w:r w:rsidRPr="00844D77">
        <w:rPr>
          <w:rFonts w:cs="David" w:hint="cs"/>
          <w:color w:val="002060"/>
          <w:sz w:val="21"/>
          <w:szCs w:val="21"/>
          <w:rtl/>
        </w:rPr>
        <w:t>,</w:t>
      </w:r>
      <w:r w:rsidRPr="00844D77">
        <w:rPr>
          <w:rFonts w:cs="David"/>
          <w:color w:val="002060"/>
          <w:sz w:val="21"/>
          <w:szCs w:val="21"/>
          <w:rtl/>
        </w:rPr>
        <w:t xml:space="preserve"> השופטת אסתר חיות</w:t>
      </w:r>
      <w:r w:rsidRPr="00844D77">
        <w:rPr>
          <w:rFonts w:cs="David" w:hint="cs"/>
          <w:color w:val="002060"/>
          <w:sz w:val="21"/>
          <w:szCs w:val="21"/>
          <w:rtl/>
        </w:rPr>
        <w:t>,</w:t>
      </w:r>
      <w:r w:rsidRPr="00844D77">
        <w:rPr>
          <w:rFonts w:cs="David"/>
          <w:color w:val="002060"/>
          <w:sz w:val="21"/>
          <w:szCs w:val="21"/>
          <w:rtl/>
        </w:rPr>
        <w:t xml:space="preserve"> שפורסמו היום. כאמור בהוראות הנוהל, הפרויקט הניסיוני יופעל תחילה באופן זמני ובמתכונת מצומצמת של הליכים נבחרים, בעלי עניין ציבורי מיוחד, המתקיימים בפני בג"ץ או בפני הרכב מורחב של שופטים, בהיקף של כעשרה שידורים ישירים בשנה הראשונה. </w:t>
      </w:r>
    </w:p>
    <w:p w:rsidR="00844D77" w:rsidRPr="00844D77" w:rsidRDefault="00844D77" w:rsidP="00844D77">
      <w:pPr>
        <w:spacing w:before="100" w:beforeAutospacing="1" w:after="100" w:afterAutospacing="1" w:line="360" w:lineRule="auto"/>
        <w:jc w:val="both"/>
        <w:rPr>
          <w:rFonts w:cs="David"/>
          <w:color w:val="002060"/>
          <w:sz w:val="21"/>
          <w:szCs w:val="21"/>
          <w:rtl/>
        </w:rPr>
      </w:pPr>
      <w:r w:rsidRPr="00844D77">
        <w:rPr>
          <w:rFonts w:cs="David"/>
          <w:color w:val="002060"/>
          <w:sz w:val="21"/>
          <w:szCs w:val="21"/>
          <w:rtl/>
        </w:rPr>
        <w:t>לצורך ביצוע הפרויקט הוקם במהלך החודשים האחרונים חדר בקרה ושידור מעל אולם ג' בבית המשפט העליון. בחדר הוצבו ארון תקשורת עצמאי וכן שולחן בקרה הכולל פאנלים של שליטה, מסכי טלוויזיה ומערכת סאונד מתקדמת. חדר הבקרה ישלוט מרחוק בחמש מצלמות שהותקנו באולם ג' ויפיצו את השידור החי. כמו כן, נבנה חדר ייעודי עבור מתורגמן לשפת הסימנים הכולל מוניטור ורמקולים, וכן מצלמה נוספת שתצלם ותעביר את התרגום בזמן אמת</w:t>
      </w:r>
      <w:r w:rsidRPr="00844D77">
        <w:rPr>
          <w:rFonts w:cs="David"/>
          <w:color w:val="FF0000"/>
          <w:sz w:val="21"/>
          <w:szCs w:val="21"/>
          <w:rtl/>
        </w:rPr>
        <w:t xml:space="preserve">. </w:t>
      </w:r>
      <w:r w:rsidRPr="00844D77">
        <w:rPr>
          <w:rFonts w:cs="David"/>
          <w:color w:val="002060"/>
          <w:sz w:val="21"/>
          <w:szCs w:val="21"/>
          <w:rtl/>
        </w:rPr>
        <w:t xml:space="preserve">בשבועות האחרונים הושלמו בדיקות תקינות המערכת שנועדו לוודא שכל רכיביה מתפקדים כהלכה. דיונים, אשר יוחלט להעבירם בשידור ישיר במסגרת הפרויקט הניסיוני, ישודרו באתר בית המשפט העליון ובאתר הרשות השופטת וכן יתאפשר שידורם בערוצי התקשורת וברשתות החברתיות. </w:t>
      </w:r>
    </w:p>
    <w:p w:rsidR="00844D77" w:rsidRPr="00844D77" w:rsidRDefault="00844D77" w:rsidP="00844D77">
      <w:pPr>
        <w:spacing w:before="100" w:beforeAutospacing="1" w:after="100" w:afterAutospacing="1" w:line="360" w:lineRule="auto"/>
        <w:jc w:val="both"/>
        <w:rPr>
          <w:rFonts w:cs="David"/>
          <w:color w:val="002060"/>
          <w:sz w:val="21"/>
          <w:szCs w:val="21"/>
          <w:rtl/>
        </w:rPr>
      </w:pPr>
      <w:r w:rsidRPr="00844D77">
        <w:rPr>
          <w:rFonts w:cs="David"/>
          <w:color w:val="002060"/>
          <w:sz w:val="21"/>
          <w:szCs w:val="21"/>
          <w:rtl/>
        </w:rPr>
        <w:t>ועדת היגוי בראשותו של המשנה לנשיאה, השופט חנן מלצר</w:t>
      </w:r>
      <w:r w:rsidRPr="00844D77">
        <w:rPr>
          <w:rFonts w:cs="David" w:hint="cs"/>
          <w:color w:val="002060"/>
          <w:sz w:val="21"/>
          <w:szCs w:val="21"/>
          <w:rtl/>
        </w:rPr>
        <w:t>,</w:t>
      </w:r>
      <w:r w:rsidRPr="00844D77">
        <w:rPr>
          <w:rFonts w:cs="David"/>
          <w:color w:val="002060"/>
          <w:sz w:val="21"/>
          <w:szCs w:val="21"/>
          <w:rtl/>
        </w:rPr>
        <w:t xml:space="preserve"> שקדה על התווית הפרויקט ומימושו והיא תמשיך ללוות אותו גם לאחר השקתו. לשכת העיתונות הממשלתית, המסייעת בהקמת </w:t>
      </w:r>
      <w:proofErr w:type="spellStart"/>
      <w:r w:rsidRPr="00844D77">
        <w:rPr>
          <w:rFonts w:cs="David"/>
          <w:color w:val="002060"/>
          <w:sz w:val="21"/>
          <w:szCs w:val="21"/>
          <w:rtl/>
        </w:rPr>
        <w:t>הפרוייקט</w:t>
      </w:r>
      <w:proofErr w:type="spellEnd"/>
      <w:r w:rsidRPr="00844D77">
        <w:rPr>
          <w:rFonts w:cs="David"/>
          <w:color w:val="002060"/>
          <w:sz w:val="21"/>
          <w:szCs w:val="21"/>
          <w:rtl/>
        </w:rPr>
        <w:t xml:space="preserve"> הניסיוני משלביו הראשונים, הופקדה על ביצועו בשלב הנוכחי.</w:t>
      </w:r>
    </w:p>
    <w:p w:rsidR="00844D77" w:rsidRPr="00844D77" w:rsidRDefault="00844D77" w:rsidP="00844D77">
      <w:pPr>
        <w:spacing w:before="100" w:beforeAutospacing="1" w:after="100" w:afterAutospacing="1" w:line="360" w:lineRule="auto"/>
        <w:jc w:val="both"/>
        <w:rPr>
          <w:rFonts w:cs="David"/>
          <w:color w:val="002060"/>
          <w:sz w:val="21"/>
          <w:szCs w:val="21"/>
          <w:rtl/>
        </w:rPr>
      </w:pPr>
      <w:r w:rsidRPr="00844D77">
        <w:rPr>
          <w:rFonts w:cs="David"/>
          <w:color w:val="002060"/>
          <w:sz w:val="21"/>
          <w:szCs w:val="21"/>
          <w:rtl/>
        </w:rPr>
        <w:t xml:space="preserve">ביום חמישי הקרוב, 16.4.2020, צפוי הרכב שופטים בראשות הנשיאה חיות לדון במספר עתירות שעניינן הסמכת שירות הביטחון הכללי ומשטרת ישראל לבצע איסוף, עיבוד ושימוש ״במידע טכנולוגי״ של חולים מאומתים בנגיף הקורונה במטרה להילחם בהתפרצות המגיפה (בג"ץ 2109/20; בג"ץ 2135/20; בג"ץ 2141/20; בג"ץ 2187/20). ההרכב בוחן אפשרות כי דיון זה יהיה הראשון שישודר בשידור חי. </w:t>
      </w:r>
    </w:p>
    <w:p w:rsidR="00844D77" w:rsidRPr="00844D77" w:rsidRDefault="00844D77" w:rsidP="00844D77">
      <w:pPr>
        <w:spacing w:before="100" w:beforeAutospacing="1" w:after="100" w:afterAutospacing="1" w:line="360" w:lineRule="auto"/>
        <w:jc w:val="both"/>
        <w:rPr>
          <w:rFonts w:cs="David"/>
          <w:color w:val="002060"/>
          <w:sz w:val="21"/>
          <w:szCs w:val="21"/>
          <w:rtl/>
        </w:rPr>
      </w:pPr>
      <w:r w:rsidRPr="00844D77">
        <w:rPr>
          <w:rFonts w:cs="David"/>
          <w:color w:val="002060"/>
          <w:sz w:val="21"/>
          <w:szCs w:val="21"/>
          <w:rtl/>
        </w:rPr>
        <w:t xml:space="preserve">נשיאת בית המשפט העליון השופטת אסתר חיות: "אני מבקשת להודות לכל הגורמים שטרחו על ביצוע הפרויקט והשקיעו בו עבודה רבה, ובראשם המשנה לנשיאה חנן מלצר. </w:t>
      </w:r>
      <w:proofErr w:type="spellStart"/>
      <w:r w:rsidRPr="00844D77">
        <w:rPr>
          <w:rFonts w:cs="David"/>
          <w:color w:val="002060"/>
          <w:sz w:val="21"/>
          <w:szCs w:val="21"/>
          <w:rtl/>
        </w:rPr>
        <w:t>הפרוייקט</w:t>
      </w:r>
      <w:proofErr w:type="spellEnd"/>
      <w:r w:rsidRPr="00844D77">
        <w:rPr>
          <w:rFonts w:cs="David"/>
          <w:color w:val="002060"/>
          <w:sz w:val="21"/>
          <w:szCs w:val="21"/>
          <w:rtl/>
        </w:rPr>
        <w:t xml:space="preserve"> הניסיוני להעברת שידורים ישרים של דיוני בית המשפט העליון רותם את הקדמה הטכנולוגית להגשמת עקרון פומביות הדיון. בשם עיקרון זה דיוני בית המשפט פתוחים מאז ומתמיד לקהל הרחב הממלא את האולמות ומעתה יוכל הציבור לצפות בדיונים נבחרים גם בשידור חי. לשידור החי משנה חשיבות בימי </w:t>
      </w:r>
      <w:proofErr w:type="spellStart"/>
      <w:r w:rsidRPr="00844D77">
        <w:rPr>
          <w:rFonts w:cs="David"/>
          <w:color w:val="002060"/>
          <w:sz w:val="21"/>
          <w:szCs w:val="21"/>
          <w:rtl/>
        </w:rPr>
        <w:t>מגיפת</w:t>
      </w:r>
      <w:proofErr w:type="spellEnd"/>
      <w:r w:rsidRPr="00844D77">
        <w:rPr>
          <w:rFonts w:cs="David"/>
          <w:color w:val="002060"/>
          <w:sz w:val="21"/>
          <w:szCs w:val="21"/>
          <w:rtl/>
        </w:rPr>
        <w:t xml:space="preserve"> הקורונה, נוכח המגבלות הקיימות על התקהלות בעת הזו. אנחנו מזמינים את הציבור לצפות בשידורים הישירים ולהתרשם מעבודתו של בית המשפט העליון". </w:t>
      </w:r>
    </w:p>
    <w:p w:rsidR="00396099" w:rsidRPr="00844D77" w:rsidRDefault="00844D77" w:rsidP="00844D77">
      <w:pPr>
        <w:spacing w:line="360" w:lineRule="auto"/>
        <w:rPr>
          <w:rFonts w:cs="David"/>
          <w:b/>
          <w:bCs/>
          <w:sz w:val="21"/>
          <w:szCs w:val="21"/>
          <w:u w:val="single"/>
          <w:rtl/>
        </w:rPr>
      </w:pPr>
      <w:r w:rsidRPr="00844D77">
        <w:rPr>
          <w:rFonts w:cs="David"/>
          <w:color w:val="002060"/>
          <w:sz w:val="21"/>
          <w:szCs w:val="21"/>
          <w:rtl/>
        </w:rPr>
        <w:t>להודעה זו מצורפת הוראת ה</w:t>
      </w:r>
      <w:r w:rsidRPr="00844D77">
        <w:rPr>
          <w:rFonts w:cs="David"/>
          <w:color w:val="002060"/>
          <w:sz w:val="21"/>
          <w:szCs w:val="21"/>
          <w:rtl/>
        </w:rPr>
        <w:t>נוהל של נשיאת בית המשפט העליון</w:t>
      </w:r>
      <w:r w:rsidRPr="00844D77">
        <w:rPr>
          <w:rFonts w:cs="David" w:hint="cs"/>
          <w:color w:val="002060"/>
          <w:sz w:val="21"/>
          <w:szCs w:val="21"/>
          <w:rtl/>
        </w:rPr>
        <w:t>.</w:t>
      </w:r>
    </w:p>
    <w:p w:rsidR="003C61AF" w:rsidRPr="00E55232" w:rsidRDefault="003C61AF" w:rsidP="003C61AF">
      <w:pPr>
        <w:spacing w:before="100" w:beforeAutospacing="1" w:after="100" w:afterAutospacing="1" w:line="240" w:lineRule="auto"/>
        <w:ind w:left="3600" w:firstLine="720"/>
        <w:jc w:val="both"/>
        <w:rPr>
          <w:rFonts w:ascii="Times New Roman" w:eastAsia="Times New Roman" w:hAnsi="Times New Roman" w:cs="David"/>
          <w:b/>
          <w:bCs/>
          <w:color w:val="002060"/>
          <w:sz w:val="24"/>
          <w:szCs w:val="24"/>
          <w:rtl/>
        </w:rPr>
      </w:pPr>
      <w:r w:rsidRPr="00E55232">
        <w:rPr>
          <w:rFonts w:ascii="Times New Roman" w:eastAsia="Times New Roman" w:hAnsi="Times New Roman" w:cs="David" w:hint="cs"/>
          <w:noProof/>
          <w:color w:val="002060"/>
          <w:sz w:val="28"/>
          <w:szCs w:val="28"/>
          <w:rtl/>
        </w:rPr>
        <w:drawing>
          <wp:anchor distT="0" distB="0" distL="114300" distR="114300" simplePos="0" relativeHeight="251659264" behindDoc="1" locked="0" layoutInCell="1" allowOverlap="1">
            <wp:simplePos x="0" y="0"/>
            <wp:positionH relativeFrom="column">
              <wp:posOffset>701040</wp:posOffset>
            </wp:positionH>
            <wp:positionV relativeFrom="paragraph">
              <wp:posOffset>349885</wp:posOffset>
            </wp:positionV>
            <wp:extent cx="1343025" cy="581025"/>
            <wp:effectExtent l="0" t="0" r="9525" b="9525"/>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581025"/>
                    </a:xfrm>
                    <a:prstGeom prst="rect">
                      <a:avLst/>
                    </a:prstGeom>
                    <a:noFill/>
                  </pic:spPr>
                </pic:pic>
              </a:graphicData>
            </a:graphic>
          </wp:anchor>
        </w:drawing>
      </w:r>
      <w:r w:rsidRPr="00E55232">
        <w:rPr>
          <w:rFonts w:ascii="Times New Roman" w:eastAsia="Times New Roman" w:hAnsi="Times New Roman" w:cs="David" w:hint="cs"/>
          <w:b/>
          <w:bCs/>
          <w:color w:val="002060"/>
          <w:sz w:val="24"/>
          <w:szCs w:val="24"/>
          <w:rtl/>
        </w:rPr>
        <w:t>בברכה,</w:t>
      </w:r>
    </w:p>
    <w:p w:rsidR="003C61AF" w:rsidRPr="00E55232" w:rsidRDefault="003C61AF" w:rsidP="003C61AF">
      <w:pPr>
        <w:spacing w:before="100" w:beforeAutospacing="1" w:after="100" w:afterAutospacing="1" w:line="240" w:lineRule="auto"/>
        <w:ind w:left="4320"/>
        <w:jc w:val="both"/>
        <w:rPr>
          <w:rFonts w:ascii="Times New Roman" w:eastAsia="Times New Roman" w:hAnsi="Times New Roman" w:cs="David"/>
          <w:b/>
          <w:bCs/>
          <w:color w:val="002060"/>
          <w:sz w:val="24"/>
          <w:szCs w:val="24"/>
          <w:rtl/>
        </w:rPr>
      </w:pPr>
      <w:r w:rsidRPr="00E55232">
        <w:rPr>
          <w:rFonts w:ascii="Times New Roman" w:eastAsia="Times New Roman" w:hAnsi="Times New Roman" w:cs="David" w:hint="cs"/>
          <w:b/>
          <w:bCs/>
          <w:color w:val="002060"/>
          <w:sz w:val="24"/>
          <w:szCs w:val="24"/>
          <w:rtl/>
        </w:rPr>
        <w:t>אילת פילו, </w:t>
      </w:r>
      <w:proofErr w:type="spellStart"/>
      <w:r w:rsidRPr="00E55232">
        <w:rPr>
          <w:rFonts w:ascii="Times New Roman" w:eastAsia="Times New Roman" w:hAnsi="Times New Roman" w:cs="David" w:hint="cs"/>
          <w:b/>
          <w:bCs/>
          <w:color w:val="002060"/>
          <w:sz w:val="24"/>
          <w:szCs w:val="24"/>
          <w:rtl/>
        </w:rPr>
        <w:t>עו"ד</w:t>
      </w:r>
      <w:r w:rsidRPr="00E55232">
        <w:rPr>
          <w:rFonts w:ascii="Arial" w:eastAsia="Times New Roman" w:hAnsi="Arial" w:cs="Arial" w:hint="cs"/>
          <w:b/>
          <w:bCs/>
          <w:color w:val="002060"/>
          <w:sz w:val="24"/>
          <w:szCs w:val="24"/>
          <w:rtl/>
        </w:rPr>
        <w:t>│</w:t>
      </w:r>
      <w:r w:rsidRPr="00E55232">
        <w:rPr>
          <w:rFonts w:ascii="Times New Roman" w:eastAsia="Times New Roman" w:hAnsi="Times New Roman" w:cs="David" w:hint="cs"/>
          <w:b/>
          <w:bCs/>
          <w:color w:val="002060"/>
          <w:sz w:val="24"/>
          <w:szCs w:val="24"/>
          <w:rtl/>
        </w:rPr>
        <w:t>ראש</w:t>
      </w:r>
      <w:proofErr w:type="spellEnd"/>
      <w:r w:rsidRPr="00E55232">
        <w:rPr>
          <w:rFonts w:ascii="Times New Roman" w:eastAsia="Times New Roman" w:hAnsi="Times New Roman" w:cs="David" w:hint="cs"/>
          <w:b/>
          <w:bCs/>
          <w:color w:val="002060"/>
          <w:sz w:val="24"/>
          <w:szCs w:val="24"/>
          <w:rtl/>
        </w:rPr>
        <w:t xml:space="preserve"> מערך דוברות והסברה</w:t>
      </w:r>
    </w:p>
    <w:p w:rsidR="003C61AF" w:rsidRPr="00E55232" w:rsidRDefault="003C61AF" w:rsidP="003C61AF">
      <w:pPr>
        <w:spacing w:before="100" w:beforeAutospacing="1" w:after="100" w:afterAutospacing="1" w:line="240" w:lineRule="auto"/>
        <w:ind w:left="4320"/>
        <w:jc w:val="both"/>
        <w:rPr>
          <w:rFonts w:ascii="Times New Roman" w:eastAsia="Times New Roman" w:hAnsi="Times New Roman" w:cs="David"/>
          <w:b/>
          <w:bCs/>
          <w:color w:val="002060"/>
          <w:sz w:val="24"/>
          <w:szCs w:val="24"/>
          <w:rtl/>
        </w:rPr>
      </w:pPr>
      <w:r w:rsidRPr="00E55232">
        <w:rPr>
          <w:rFonts w:ascii="Times New Roman" w:eastAsia="Times New Roman" w:hAnsi="Times New Roman" w:cs="David" w:hint="cs"/>
          <w:b/>
          <w:bCs/>
          <w:color w:val="002060"/>
          <w:sz w:val="24"/>
          <w:szCs w:val="24"/>
          <w:rtl/>
        </w:rPr>
        <w:t xml:space="preserve">               הרשות השופטת בישראל</w:t>
      </w:r>
    </w:p>
    <w:sectPr w:rsidR="003C61AF" w:rsidRPr="00E55232" w:rsidSect="00B16422">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635" w:rsidRDefault="00B50635" w:rsidP="00730CA1">
      <w:pPr>
        <w:spacing w:after="0" w:line="240" w:lineRule="auto"/>
      </w:pPr>
      <w:r>
        <w:separator/>
      </w:r>
    </w:p>
  </w:endnote>
  <w:endnote w:type="continuationSeparator" w:id="0">
    <w:p w:rsidR="00B50635" w:rsidRDefault="00B50635" w:rsidP="0073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AF" w:rsidRPr="003C61AF" w:rsidRDefault="003C61AF" w:rsidP="003C61AF">
    <w:pPr>
      <w:tabs>
        <w:tab w:val="center" w:pos="4153"/>
        <w:tab w:val="right" w:pos="8306"/>
      </w:tabs>
      <w:spacing w:after="0" w:line="240" w:lineRule="auto"/>
      <w:rPr>
        <w:rFonts w:ascii="Times New Roman" w:eastAsia="Times New Roman" w:hAnsi="Times New Roman" w:cs="FrankRuehl"/>
        <w:b/>
        <w:bCs/>
        <w:color w:val="000080"/>
        <w:spacing w:val="6"/>
        <w:sz w:val="24"/>
        <w:szCs w:val="24"/>
        <w:rtl/>
      </w:rPr>
    </w:pPr>
    <w:r w:rsidRPr="003C61AF">
      <w:rPr>
        <w:rFonts w:ascii="Times New Roman" w:eastAsia="Times New Roman" w:hAnsi="Times New Roman" w:cs="FrankRuehl"/>
        <w:b/>
        <w:bCs/>
        <w:color w:val="000080"/>
        <w:spacing w:val="6"/>
        <w:sz w:val="24"/>
        <w:szCs w:val="24"/>
        <w:rtl/>
      </w:rPr>
      <w:t>________________________________________________________________</w:t>
    </w:r>
  </w:p>
  <w:p w:rsidR="003C61AF" w:rsidRPr="003C61AF" w:rsidRDefault="003C61AF" w:rsidP="003C61AF">
    <w:pPr>
      <w:tabs>
        <w:tab w:val="center" w:pos="4153"/>
        <w:tab w:val="right" w:pos="8306"/>
      </w:tabs>
      <w:spacing w:after="0" w:line="240" w:lineRule="auto"/>
      <w:jc w:val="center"/>
      <w:rPr>
        <w:rFonts w:ascii="Times New Roman" w:eastAsia="Times New Roman" w:hAnsi="Times New Roman" w:cs="FrankRuehl"/>
        <w:b/>
        <w:bCs/>
        <w:color w:val="000080"/>
        <w:spacing w:val="6"/>
        <w:sz w:val="24"/>
        <w:szCs w:val="24"/>
        <w:rtl/>
      </w:rPr>
    </w:pPr>
    <w:r w:rsidRPr="003C61AF">
      <w:rPr>
        <w:rFonts w:ascii="Times New Roman" w:eastAsia="Times New Roman" w:hAnsi="Times New Roman" w:cs="FrankRuehl" w:hint="cs"/>
        <w:b/>
        <w:bCs/>
        <w:color w:val="000080"/>
        <w:spacing w:val="6"/>
        <w:sz w:val="24"/>
        <w:szCs w:val="24"/>
        <w:rtl/>
      </w:rPr>
      <w:t xml:space="preserve">בית משפט העליון רח' שערי משפט, </w:t>
    </w:r>
    <w:proofErr w:type="spellStart"/>
    <w:r w:rsidRPr="003C61AF">
      <w:rPr>
        <w:rFonts w:ascii="Times New Roman" w:eastAsia="Times New Roman" w:hAnsi="Times New Roman" w:cs="FrankRuehl" w:hint="cs"/>
        <w:b/>
        <w:bCs/>
        <w:color w:val="000080"/>
        <w:spacing w:val="6"/>
        <w:sz w:val="24"/>
        <w:szCs w:val="24"/>
        <w:rtl/>
      </w:rPr>
      <w:t>קרית</w:t>
    </w:r>
    <w:proofErr w:type="spellEnd"/>
    <w:r w:rsidRPr="003C61AF">
      <w:rPr>
        <w:rFonts w:ascii="Times New Roman" w:eastAsia="Times New Roman" w:hAnsi="Times New Roman" w:cs="FrankRuehl" w:hint="cs"/>
        <w:b/>
        <w:bCs/>
        <w:color w:val="000080"/>
        <w:spacing w:val="6"/>
        <w:sz w:val="24"/>
        <w:szCs w:val="24"/>
        <w:rtl/>
      </w:rPr>
      <w:t xml:space="preserve"> בן גוריון, ירושלים</w:t>
    </w:r>
  </w:p>
  <w:p w:rsidR="003C61AF" w:rsidRPr="003C61AF" w:rsidRDefault="003C61AF" w:rsidP="003C61AF">
    <w:pPr>
      <w:tabs>
        <w:tab w:val="center" w:pos="4153"/>
        <w:tab w:val="right" w:pos="8306"/>
      </w:tabs>
      <w:spacing w:after="0" w:line="240" w:lineRule="auto"/>
      <w:jc w:val="center"/>
      <w:rPr>
        <w:rFonts w:ascii="Times New Roman" w:eastAsia="Times New Roman" w:hAnsi="Times New Roman" w:cs="FrankRuehl"/>
        <w:b/>
        <w:bCs/>
        <w:color w:val="000080"/>
        <w:spacing w:val="6"/>
        <w:sz w:val="24"/>
        <w:szCs w:val="24"/>
      </w:rPr>
    </w:pPr>
    <w:r w:rsidRPr="003C61AF">
      <w:rPr>
        <w:rFonts w:ascii="Times New Roman" w:eastAsia="Times New Roman" w:hAnsi="Times New Roman" w:cs="FrankRuehl" w:hint="cs"/>
        <w:b/>
        <w:bCs/>
        <w:color w:val="000080"/>
        <w:spacing w:val="6"/>
        <w:sz w:val="24"/>
        <w:szCs w:val="24"/>
        <w:rtl/>
      </w:rPr>
      <w:t xml:space="preserve">טל: </w:t>
    </w:r>
    <w:r w:rsidRPr="003C61AF">
      <w:rPr>
        <w:rFonts w:ascii="Times New Roman" w:eastAsia="Times New Roman" w:hAnsi="Times New Roman" w:cs="FrankRuehl"/>
        <w:b/>
        <w:bCs/>
        <w:color w:val="000080"/>
        <w:spacing w:val="6"/>
        <w:sz w:val="24"/>
        <w:szCs w:val="24"/>
      </w:rPr>
      <w:t>074-7480412</w:t>
    </w:r>
    <w:r w:rsidRPr="003C61AF">
      <w:rPr>
        <w:rFonts w:ascii="Times New Roman" w:eastAsia="Times New Roman" w:hAnsi="Times New Roman" w:cs="FrankRuehl" w:hint="cs"/>
        <w:b/>
        <w:bCs/>
        <w:color w:val="000080"/>
        <w:spacing w:val="6"/>
        <w:sz w:val="24"/>
        <w:szCs w:val="24"/>
        <w:rtl/>
      </w:rPr>
      <w:t xml:space="preserve">                דוא"ל</w:t>
    </w:r>
    <w:r w:rsidRPr="003C61AF">
      <w:rPr>
        <w:rFonts w:ascii="Times New Roman" w:eastAsia="Times New Roman" w:hAnsi="Times New Roman" w:cs="FrankRuehl"/>
        <w:b/>
        <w:bCs/>
        <w:color w:val="000080"/>
        <w:spacing w:val="6"/>
        <w:sz w:val="24"/>
        <w:szCs w:val="24"/>
      </w:rPr>
      <w:t>:</w:t>
    </w:r>
    <w:r w:rsidRPr="003C61AF">
      <w:rPr>
        <w:rFonts w:ascii="Times New Roman" w:eastAsia="Times New Roman" w:hAnsi="Times New Roman" w:cs="FrankRuehl" w:hint="cs"/>
        <w:b/>
        <w:bCs/>
        <w:color w:val="000080"/>
        <w:spacing w:val="6"/>
        <w:sz w:val="24"/>
        <w:szCs w:val="24"/>
        <w:rtl/>
      </w:rPr>
      <w:t xml:space="preserve">  </w:t>
    </w:r>
    <w:hyperlink r:id="rId1" w:history="1">
      <w:r w:rsidRPr="003C61AF">
        <w:rPr>
          <w:rFonts w:ascii="Times New Roman" w:eastAsia="Times New Roman" w:hAnsi="Times New Roman" w:cs="FrankRuehl"/>
          <w:b/>
          <w:bCs/>
          <w:color w:val="0000FF"/>
          <w:spacing w:val="6"/>
          <w:sz w:val="24"/>
          <w:szCs w:val="24"/>
          <w:u w:val="single"/>
        </w:rPr>
        <w:t>Dover@court.gov.il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635" w:rsidRDefault="00B50635" w:rsidP="00730CA1">
      <w:pPr>
        <w:spacing w:after="0" w:line="240" w:lineRule="auto"/>
      </w:pPr>
      <w:r>
        <w:separator/>
      </w:r>
    </w:p>
  </w:footnote>
  <w:footnote w:type="continuationSeparator" w:id="0">
    <w:p w:rsidR="00B50635" w:rsidRDefault="00B50635" w:rsidP="00730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B2" w:rsidRPr="005253B2" w:rsidRDefault="005253B2" w:rsidP="005253B2">
    <w:pPr>
      <w:tabs>
        <w:tab w:val="center" w:pos="4153"/>
        <w:tab w:val="right" w:pos="8306"/>
      </w:tabs>
      <w:overflowPunct w:val="0"/>
      <w:autoSpaceDE w:val="0"/>
      <w:autoSpaceDN w:val="0"/>
      <w:adjustRightInd w:val="0"/>
      <w:spacing w:after="0" w:line="240" w:lineRule="auto"/>
      <w:jc w:val="center"/>
      <w:rPr>
        <w:rFonts w:ascii="Times New Roman" w:eastAsia="Times New Roman" w:hAnsi="Times New Roman" w:cs="David"/>
        <w:sz w:val="20"/>
        <w:szCs w:val="24"/>
        <w:lang w:eastAsia="he-IL"/>
      </w:rPr>
    </w:pPr>
    <w:r w:rsidRPr="005253B2">
      <w:rPr>
        <w:rFonts w:ascii="Times New Roman" w:eastAsia="Times New Roman" w:hAnsi="Times New Roman" w:cs="David"/>
        <w:noProof/>
        <w:sz w:val="20"/>
        <w:szCs w:val="24"/>
      </w:rPr>
      <w:drawing>
        <wp:inline distT="0" distB="0" distL="0" distR="0">
          <wp:extent cx="523875" cy="619125"/>
          <wp:effectExtent l="0" t="0" r="9525" b="9525"/>
          <wp:docPr id="1" name="תמונה 2" descr="תיאור: 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תיאור: sem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r w:rsidRPr="005253B2">
      <w:rPr>
        <w:rFonts w:ascii="Century" w:eastAsia="Times New Roman" w:hAnsi="Century" w:cs="FrankRuehl" w:hint="cs"/>
        <w:noProof/>
        <w:spacing w:val="10"/>
        <w:sz w:val="20"/>
        <w:szCs w:val="28"/>
        <w:rtl/>
        <w:lang w:eastAsia="he-IL"/>
      </w:rPr>
      <w:t xml:space="preserve">                                            </w:t>
    </w:r>
  </w:p>
  <w:p w:rsidR="005253B2" w:rsidRPr="005253B2" w:rsidRDefault="001477AA" w:rsidP="005253B2">
    <w:pPr>
      <w:tabs>
        <w:tab w:val="center" w:pos="4153"/>
        <w:tab w:val="right" w:pos="8306"/>
      </w:tabs>
      <w:overflowPunct w:val="0"/>
      <w:autoSpaceDE w:val="0"/>
      <w:autoSpaceDN w:val="0"/>
      <w:adjustRightInd w:val="0"/>
      <w:spacing w:after="0" w:line="240" w:lineRule="auto"/>
      <w:jc w:val="center"/>
      <w:rPr>
        <w:rFonts w:ascii="Times New Roman" w:eastAsia="Times New Roman" w:hAnsi="Times New Roman" w:cs="FrankRuehl"/>
        <w:b/>
        <w:bCs/>
        <w:color w:val="000080"/>
        <w:spacing w:val="6"/>
        <w:sz w:val="28"/>
        <w:szCs w:val="28"/>
        <w:rtl/>
        <w:lang w:eastAsia="he-IL"/>
      </w:rPr>
    </w:pPr>
    <w:r>
      <w:rPr>
        <w:rFonts w:ascii="Times New Roman" w:eastAsia="Times New Roman" w:hAnsi="Times New Roman" w:cs="FrankRuehl" w:hint="cs"/>
        <w:b/>
        <w:bCs/>
        <w:color w:val="000080"/>
        <w:spacing w:val="6"/>
        <w:sz w:val="28"/>
        <w:szCs w:val="28"/>
        <w:rtl/>
        <w:lang w:eastAsia="he-IL"/>
      </w:rPr>
      <w:t>הרשות השופטת</w:t>
    </w:r>
  </w:p>
  <w:p w:rsidR="007007D7" w:rsidRPr="005253B2" w:rsidRDefault="001477AA" w:rsidP="005253B2">
    <w:pPr>
      <w:tabs>
        <w:tab w:val="center" w:pos="4153"/>
        <w:tab w:val="right" w:pos="8306"/>
      </w:tabs>
      <w:overflowPunct w:val="0"/>
      <w:autoSpaceDE w:val="0"/>
      <w:autoSpaceDN w:val="0"/>
      <w:adjustRightInd w:val="0"/>
      <w:spacing w:after="0" w:line="240" w:lineRule="auto"/>
      <w:jc w:val="center"/>
      <w:rPr>
        <w:rFonts w:ascii="Times New Roman" w:eastAsia="Times New Roman" w:hAnsi="Times New Roman" w:cs="FrankRuehl"/>
        <w:b/>
        <w:bCs/>
        <w:color w:val="000080"/>
        <w:spacing w:val="6"/>
        <w:sz w:val="28"/>
        <w:szCs w:val="28"/>
        <w:lang w:eastAsia="he-IL"/>
      </w:rPr>
    </w:pPr>
    <w:r>
      <w:rPr>
        <w:rFonts w:ascii="Times New Roman" w:eastAsia="Times New Roman" w:hAnsi="Times New Roman" w:cs="FrankRuehl" w:hint="cs"/>
        <w:b/>
        <w:bCs/>
        <w:color w:val="000080"/>
        <w:spacing w:val="6"/>
        <w:sz w:val="28"/>
        <w:szCs w:val="28"/>
        <w:rtl/>
        <w:lang w:eastAsia="he-IL"/>
      </w:rPr>
      <w:t xml:space="preserve">מערך </w:t>
    </w:r>
    <w:r w:rsidR="005253B2" w:rsidRPr="005253B2">
      <w:rPr>
        <w:rFonts w:ascii="Times New Roman" w:eastAsia="Times New Roman" w:hAnsi="Times New Roman" w:cs="FrankRuehl" w:hint="cs"/>
        <w:b/>
        <w:bCs/>
        <w:color w:val="000080"/>
        <w:spacing w:val="6"/>
        <w:sz w:val="28"/>
        <w:szCs w:val="28"/>
        <w:rtl/>
        <w:lang w:eastAsia="he-IL"/>
      </w:rPr>
      <w:t>דוברות והסברה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CF"/>
    <w:rsid w:val="000011AE"/>
    <w:rsid w:val="00025761"/>
    <w:rsid w:val="001477AA"/>
    <w:rsid w:val="001D42A7"/>
    <w:rsid w:val="002453CF"/>
    <w:rsid w:val="002C0E83"/>
    <w:rsid w:val="003921C3"/>
    <w:rsid w:val="00396099"/>
    <w:rsid w:val="003C61AF"/>
    <w:rsid w:val="003E6E39"/>
    <w:rsid w:val="00426AA7"/>
    <w:rsid w:val="005253B2"/>
    <w:rsid w:val="00690B6F"/>
    <w:rsid w:val="006B7B96"/>
    <w:rsid w:val="006C3B1F"/>
    <w:rsid w:val="006F1E1F"/>
    <w:rsid w:val="007007D7"/>
    <w:rsid w:val="00711675"/>
    <w:rsid w:val="00730CA1"/>
    <w:rsid w:val="00844D77"/>
    <w:rsid w:val="008C02E0"/>
    <w:rsid w:val="00983123"/>
    <w:rsid w:val="009E5C0E"/>
    <w:rsid w:val="00AD7644"/>
    <w:rsid w:val="00B16422"/>
    <w:rsid w:val="00B50635"/>
    <w:rsid w:val="00BA3143"/>
    <w:rsid w:val="00C22E08"/>
    <w:rsid w:val="00C37F37"/>
    <w:rsid w:val="00C50C55"/>
    <w:rsid w:val="00C529CC"/>
    <w:rsid w:val="00C842A7"/>
    <w:rsid w:val="00C85A27"/>
    <w:rsid w:val="00CA2D6A"/>
    <w:rsid w:val="00CB4940"/>
    <w:rsid w:val="00D11F77"/>
    <w:rsid w:val="00D205AB"/>
    <w:rsid w:val="00D43C0E"/>
    <w:rsid w:val="00E35DF3"/>
    <w:rsid w:val="00E55232"/>
    <w:rsid w:val="00EB6609"/>
    <w:rsid w:val="00F46250"/>
    <w:rsid w:val="00FF55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0EF6"/>
  <w15:chartTrackingRefBased/>
  <w15:docId w15:val="{73C43B57-6867-4F06-9DF1-55588D3D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AA7"/>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426AA7"/>
    <w:rPr>
      <w:rFonts w:ascii="Tahoma" w:hAnsi="Tahoma" w:cs="Tahoma"/>
      <w:sz w:val="18"/>
      <w:szCs w:val="18"/>
    </w:rPr>
  </w:style>
  <w:style w:type="character" w:styleId="Hyperlink">
    <w:name w:val="Hyperlink"/>
    <w:basedOn w:val="a0"/>
    <w:uiPriority w:val="99"/>
    <w:unhideWhenUsed/>
    <w:rsid w:val="00E35DF3"/>
    <w:rPr>
      <w:color w:val="0563C1" w:themeColor="hyperlink"/>
      <w:u w:val="single"/>
    </w:rPr>
  </w:style>
  <w:style w:type="paragraph" w:styleId="a5">
    <w:name w:val="header"/>
    <w:basedOn w:val="a"/>
    <w:link w:val="a6"/>
    <w:uiPriority w:val="99"/>
    <w:unhideWhenUsed/>
    <w:rsid w:val="00730CA1"/>
    <w:pPr>
      <w:tabs>
        <w:tab w:val="center" w:pos="4153"/>
        <w:tab w:val="right" w:pos="8306"/>
      </w:tabs>
      <w:spacing w:after="0" w:line="240" w:lineRule="auto"/>
    </w:pPr>
  </w:style>
  <w:style w:type="character" w:customStyle="1" w:styleId="a6">
    <w:name w:val="כותרת עליונה תו"/>
    <w:basedOn w:val="a0"/>
    <w:link w:val="a5"/>
    <w:uiPriority w:val="99"/>
    <w:rsid w:val="00730CA1"/>
  </w:style>
  <w:style w:type="paragraph" w:styleId="a7">
    <w:name w:val="footer"/>
    <w:basedOn w:val="a"/>
    <w:link w:val="a8"/>
    <w:uiPriority w:val="99"/>
    <w:unhideWhenUsed/>
    <w:rsid w:val="00730CA1"/>
    <w:pPr>
      <w:tabs>
        <w:tab w:val="center" w:pos="4153"/>
        <w:tab w:val="right" w:pos="8306"/>
      </w:tabs>
      <w:spacing w:after="0" w:line="240" w:lineRule="auto"/>
    </w:pPr>
  </w:style>
  <w:style w:type="character" w:customStyle="1" w:styleId="a8">
    <w:name w:val="כותרת תחתונה תו"/>
    <w:basedOn w:val="a0"/>
    <w:link w:val="a7"/>
    <w:uiPriority w:val="99"/>
    <w:rsid w:val="0073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7476">
      <w:bodyDiv w:val="1"/>
      <w:marLeft w:val="0"/>
      <w:marRight w:val="0"/>
      <w:marTop w:val="0"/>
      <w:marBottom w:val="0"/>
      <w:divBdr>
        <w:top w:val="none" w:sz="0" w:space="0" w:color="auto"/>
        <w:left w:val="none" w:sz="0" w:space="0" w:color="auto"/>
        <w:bottom w:val="none" w:sz="0" w:space="0" w:color="auto"/>
        <w:right w:val="none" w:sz="0" w:space="0" w:color="auto"/>
      </w:divBdr>
    </w:div>
    <w:div w:id="1171139320">
      <w:bodyDiv w:val="1"/>
      <w:marLeft w:val="0"/>
      <w:marRight w:val="0"/>
      <w:marTop w:val="0"/>
      <w:marBottom w:val="0"/>
      <w:divBdr>
        <w:top w:val="none" w:sz="0" w:space="0" w:color="auto"/>
        <w:left w:val="none" w:sz="0" w:space="0" w:color="auto"/>
        <w:bottom w:val="none" w:sz="0" w:space="0" w:color="auto"/>
        <w:right w:val="none" w:sz="0" w:space="0" w:color="auto"/>
      </w:divBdr>
    </w:div>
    <w:div w:id="1264066878">
      <w:bodyDiv w:val="1"/>
      <w:marLeft w:val="0"/>
      <w:marRight w:val="0"/>
      <w:marTop w:val="0"/>
      <w:marBottom w:val="0"/>
      <w:divBdr>
        <w:top w:val="none" w:sz="0" w:space="0" w:color="auto"/>
        <w:left w:val="none" w:sz="0" w:space="0" w:color="auto"/>
        <w:bottom w:val="none" w:sz="0" w:space="0" w:color="auto"/>
        <w:right w:val="none" w:sz="0" w:space="0" w:color="auto"/>
      </w:divBdr>
    </w:div>
    <w:div w:id="1552304460">
      <w:bodyDiv w:val="1"/>
      <w:marLeft w:val="0"/>
      <w:marRight w:val="0"/>
      <w:marTop w:val="0"/>
      <w:marBottom w:val="0"/>
      <w:divBdr>
        <w:top w:val="none" w:sz="0" w:space="0" w:color="auto"/>
        <w:left w:val="none" w:sz="0" w:space="0" w:color="auto"/>
        <w:bottom w:val="none" w:sz="0" w:space="0" w:color="auto"/>
        <w:right w:val="none" w:sz="0" w:space="0" w:color="auto"/>
      </w:divBdr>
    </w:div>
    <w:div w:id="20642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over@court.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SixthEditionOfficeOnline.xsl"/>
</file>

<file path=customXml/itemProps1.xml><?xml version="1.0" encoding="utf-8"?>
<ds:datastoreItem xmlns:ds="http://schemas.openxmlformats.org/officeDocument/2006/customXml" ds:itemID="{6D175BB0-6A69-4BC2-BFEC-582762CDA34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C9278DD7.dotm</Template>
  <TotalTime>24</TotalTime>
  <Pages>1</Pages>
  <Words>454</Words>
  <Characters>2275</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court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נירית לזימי</dc:creator>
  <cp:keywords/>
  <dc:description/>
  <cp:lastModifiedBy>Court</cp:lastModifiedBy>
  <cp:revision>18</cp:revision>
  <cp:lastPrinted>2017-11-13T12:38:00Z</cp:lastPrinted>
  <dcterms:created xsi:type="dcterms:W3CDTF">2019-01-02T07:37:00Z</dcterms:created>
  <dcterms:modified xsi:type="dcterms:W3CDTF">2020-04-13T08:30:00Z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Eng">
    <vt:lpwstr>13 באפריל 2020</vt:lpwstr>
  </property>
  <property fmtid="{D5CDD505-2E9C-101B-9397-08002B2CF9AE}" pid="3" name="DocDateHeb">
    <vt:lpwstr>י"ט בניסן תש"ף</vt:lpwstr>
  </property>
  <property fmtid="{D5CDD505-2E9C-101B-9397-08002B2CF9AE}" pid="4" name="DocNumber">
    <vt:lpwstr>4700-1039-2020-180484</vt:lpwstr>
  </property>
  <property fmtid="{D5CDD505-2E9C-101B-9397-08002B2CF9AE}" pid="5" name="DocRecipientsName">
    <vt:lpwstr/>
  </property>
  <property fmtid="{D5CDD505-2E9C-101B-9397-08002B2CF9AE}" pid="6" name="DocToName">
    <vt:lpwstr/>
  </property>
  <property fmtid="{D5CDD505-2E9C-101B-9397-08002B2CF9AE}" pid="7" name="DocObjectName">
    <vt:lpwstr>בית המשפט העליון יחל בקרוב בפרויקט ניסיוני שבמסגרתו יועברו בשידור חי דיונים נבחרים של בית המשפט העליון</vt:lpwstr>
  </property>
</Properties>
</file>