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E635A2" w:rsidRDefault="004033D8" w:rsidP="00E635A2">
      <w:pPr>
        <w:jc w:val="right"/>
        <w:rPr>
          <w:b/>
          <w:bCs/>
          <w:sz w:val="20"/>
          <w:szCs w:val="20"/>
        </w:rPr>
      </w:pPr>
      <w:bookmarkStart w:id="0" w:name="_GoBack"/>
      <w:bookmarkEnd w:id="0"/>
      <w:r w:rsidRPr="00E635A2">
        <w:rPr>
          <w:rFonts w:hint="cs"/>
          <w:sz w:val="20"/>
          <w:szCs w:val="20"/>
          <w:rtl/>
        </w:rPr>
        <w:t xml:space="preserve">מספר פנימי: </w:t>
      </w:r>
      <w:bookmarkStart w:id="1" w:name="LGS_Internal_ID"/>
      <w:r>
        <w:rPr>
          <w:rFonts w:hint="cs"/>
          <w:sz w:val="20"/>
          <w:szCs w:val="20"/>
          <w:rtl/>
        </w:rPr>
        <w:t>2081435</w:t>
      </w:r>
      <w:bookmarkEnd w:id="1"/>
    </w:p>
    <w:p w14:paraId="7F6961A2" w14:textId="626F7439" w:rsidR="00E13C27" w:rsidRPr="00DB7060" w:rsidRDefault="00E13C27" w:rsidP="008E11CF">
      <w:pPr>
        <w:pStyle w:val="HeadHatzaotHok"/>
        <w:rPr>
          <w:sz w:val="28"/>
          <w:szCs w:val="28"/>
          <w:rtl/>
        </w:rPr>
      </w:pPr>
      <w:r w:rsidRPr="00DB7060">
        <w:rPr>
          <w:rFonts w:hint="cs"/>
          <w:sz w:val="28"/>
          <w:szCs w:val="28"/>
          <w:rtl/>
        </w:rPr>
        <w:t xml:space="preserve">הכנסת </w:t>
      </w:r>
      <w:bookmarkStart w:id="2" w:name="LGS_Knesset_Num"/>
      <w:r>
        <w:rPr>
          <w:rFonts w:hint="cs"/>
          <w:sz w:val="28"/>
          <w:szCs w:val="28"/>
          <w:rtl/>
        </w:rPr>
        <w:t>העשרים ושתיים</w:t>
      </w:r>
      <w:bookmarkEnd w:id="2"/>
    </w:p>
    <w:p w14:paraId="7F6961A3" w14:textId="77777777" w:rsidR="00E13C27" w:rsidRPr="00F67051" w:rsidRDefault="00E13C27" w:rsidP="00E13C27">
      <w:pPr>
        <w:rPr>
          <w:b/>
          <w:bCs/>
          <w:sz w:val="26"/>
          <w:szCs w:val="26"/>
          <w:rtl/>
        </w:rPr>
      </w:pPr>
    </w:p>
    <w:p w14:paraId="7F6961A6" w14:textId="77777777" w:rsidR="00E13C27" w:rsidRDefault="008F6665" w:rsidP="00930EFE">
      <w:pPr>
        <w:pStyle w:val="David"/>
        <w:ind w:left="3544"/>
        <w:rPr>
          <w:b/>
          <w:bCs/>
          <w:rtl/>
        </w:rPr>
      </w:pPr>
      <w:bookmarkStart w:id="3" w:name="LGS_Initiators_List"/>
      <w:r>
        <w:rPr>
          <w:b/>
          <w:bCs/>
          <w:rtl/>
        </w:rPr>
        <w:t>יוזם:</w:t>
      </w:r>
      <w:r>
        <w:tab/>
      </w:r>
      <w:r>
        <w:rPr>
          <w:b/>
          <w:bCs/>
          <w:rtl/>
        </w:rPr>
        <w:t xml:space="preserve">      חבר הכנסת</w:t>
      </w:r>
      <w:bookmarkEnd w:id="3"/>
      <w:r w:rsidR="00B35784" w:rsidRPr="00F67051">
        <w:rPr>
          <w:b/>
          <w:bCs/>
        </w:rPr>
        <w:tab/>
      </w:r>
      <w:bookmarkStart w:id="4" w:name="LGS_PM_Names"/>
      <w:r>
        <w:rPr>
          <w:rFonts w:hint="cs"/>
          <w:b/>
          <w:bCs/>
          <w:rtl/>
        </w:rPr>
        <w:t>צבי האוזר</w:t>
      </w:r>
      <w:bookmarkEnd w:id="4"/>
    </w:p>
    <w:p w14:paraId="7F6961AA" w14:textId="39F9D96B" w:rsidR="00E13C27" w:rsidRPr="00CF1AA2" w:rsidRDefault="007D585A" w:rsidP="0036422C">
      <w:pPr>
        <w:pStyle w:val="David"/>
        <w:ind w:left="3544"/>
        <w:rPr>
          <w:b/>
          <w:bCs/>
          <w:sz w:val="16"/>
          <w:szCs w:val="16"/>
          <w:rtl/>
        </w:rPr>
      </w:pPr>
      <w:bookmarkStart w:id="5" w:name="LGS_Join_List"/>
      <w:r>
        <w:rPr>
          <w:rtl/>
        </w:rPr>
        <w:t xml:space="preserve"> </w:t>
      </w:r>
      <w:bookmarkEnd w:id="5"/>
      <w:r w:rsidR="002200A1" w:rsidRPr="00CF1AA2">
        <w:rPr>
          <w:rFonts w:hint="cs"/>
          <w:rtl/>
        </w:rPr>
        <w:tab/>
      </w:r>
      <w:bookmarkStart w:id="6" w:name="LGS_PM_NamesJoin"/>
      <w:r>
        <w:rPr>
          <w:rFonts w:hint="cs"/>
          <w:rtl/>
        </w:rPr>
        <w:t xml:space="preserve"> </w:t>
      </w:r>
      <w:bookmarkEnd w:id="6"/>
    </w:p>
    <w:p w14:paraId="34DB4103" w14:textId="77777777" w:rsidR="00904591" w:rsidRPr="00904591" w:rsidRDefault="00266D86" w:rsidP="0036422C">
      <w:pPr>
        <w:pStyle w:val="David"/>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33051B00" w:rsidR="00E13C27" w:rsidRPr="00E06736" w:rsidRDefault="00904591" w:rsidP="00E56494">
      <w:pPr>
        <w:pStyle w:val="David"/>
        <w:spacing w:line="240" w:lineRule="auto"/>
        <w:ind w:left="6424" w:firstLine="56"/>
        <w:rPr>
          <w:rtl/>
        </w:rPr>
      </w:pPr>
      <w:bookmarkStart w:id="7" w:name="Private_Number"/>
      <w:r>
        <w:rPr>
          <w:rFonts w:hint="cs"/>
          <w:rtl/>
        </w:rPr>
        <w:t>פ/418/22</w:t>
      </w:r>
      <w:bookmarkEnd w:id="7"/>
    </w:p>
    <w:p w14:paraId="7F6961AC" w14:textId="77777777" w:rsidR="00E13C27" w:rsidRDefault="00E13C27" w:rsidP="00E13C27">
      <w:pPr>
        <w:ind w:left="2880" w:firstLine="720"/>
        <w:rPr>
          <w:sz w:val="26"/>
          <w:szCs w:val="26"/>
          <w:rtl/>
        </w:rPr>
      </w:pPr>
    </w:p>
    <w:p w14:paraId="7F6961AD" w14:textId="3DD3C9CC" w:rsidR="00E13C27" w:rsidRPr="00F67051" w:rsidRDefault="00A443CF" w:rsidP="005D663D">
      <w:pPr>
        <w:pStyle w:val="HeadHatzaotHok"/>
        <w:rPr>
          <w:rtl/>
        </w:rPr>
      </w:pPr>
      <w:bookmarkStart w:id="8" w:name="LGS_Subject"/>
      <w:r>
        <w:rPr>
          <w:rFonts w:hint="cs"/>
          <w:rtl/>
        </w:rPr>
        <w:t xml:space="preserve">הצעת חוק הבחירות לכנסת (תיקון </w:t>
      </w:r>
      <w:r w:rsidR="008E11CF">
        <w:rPr>
          <w:rFonts w:hint="cs"/>
          <w:rtl/>
        </w:rPr>
        <w:t>–</w:t>
      </w:r>
      <w:r>
        <w:rPr>
          <w:rFonts w:hint="cs"/>
          <w:rtl/>
        </w:rPr>
        <w:t xml:space="preserve"> הצבעת אזרחים מחוץ לישראל), </w:t>
      </w:r>
      <w:proofErr w:type="spellStart"/>
      <w:r>
        <w:rPr>
          <w:rFonts w:hint="cs"/>
          <w:rtl/>
        </w:rPr>
        <w:t>התש"ף</w:t>
      </w:r>
      <w:proofErr w:type="spellEnd"/>
      <w:r w:rsidR="008E11CF">
        <w:rPr>
          <w:rFonts w:hint="cs"/>
          <w:rtl/>
        </w:rPr>
        <w:t>–</w:t>
      </w:r>
      <w:r>
        <w:rPr>
          <w:rFonts w:hint="cs"/>
          <w:rtl/>
        </w:rPr>
        <w:t>2019</w:t>
      </w:r>
      <w:bookmarkEnd w:id="8"/>
    </w:p>
    <w:p w14:paraId="7F6961AE" w14:textId="77777777" w:rsidR="00E13C27" w:rsidRDefault="00E13C27" w:rsidP="0021633A">
      <w:pPr>
        <w:pStyle w:val="HeadDivreiHesber"/>
        <w:spacing w:before="0" w:after="0"/>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624"/>
        <w:gridCol w:w="624"/>
        <w:gridCol w:w="624"/>
        <w:gridCol w:w="624"/>
        <w:gridCol w:w="624"/>
        <w:gridCol w:w="4025"/>
      </w:tblGrid>
      <w:tr w:rsidR="004539CD" w:rsidRPr="004539CD" w14:paraId="035EEF3D" w14:textId="77777777" w:rsidTr="00274940">
        <w:trPr>
          <w:cantSplit/>
        </w:trPr>
        <w:tc>
          <w:tcPr>
            <w:tcW w:w="1869" w:type="dxa"/>
          </w:tcPr>
          <w:p w14:paraId="3863FF98" w14:textId="07650338" w:rsidR="004539CD" w:rsidRPr="004539CD" w:rsidRDefault="004539CD" w:rsidP="004539CD">
            <w:pPr>
              <w:pStyle w:val="TableSideHeading"/>
              <w:keepLines w:val="0"/>
              <w:rPr>
                <w:sz w:val="26"/>
              </w:rPr>
            </w:pPr>
            <w:r w:rsidRPr="004539CD">
              <w:rPr>
                <w:sz w:val="26"/>
                <w:rtl/>
              </w:rPr>
              <w:t>הוספת סעיף 116ז1</w:t>
            </w:r>
          </w:p>
        </w:tc>
        <w:tc>
          <w:tcPr>
            <w:tcW w:w="624" w:type="dxa"/>
          </w:tcPr>
          <w:p w14:paraId="206199E0" w14:textId="3C114C6A" w:rsidR="004539CD" w:rsidRPr="004539CD" w:rsidRDefault="004539CD" w:rsidP="004539CD">
            <w:pPr>
              <w:pStyle w:val="TableText"/>
              <w:jc w:val="both"/>
              <w:rPr>
                <w:sz w:val="26"/>
              </w:rPr>
            </w:pPr>
            <w:r w:rsidRPr="004539CD">
              <w:rPr>
                <w:rFonts w:hint="cs"/>
                <w:sz w:val="26"/>
                <w:rtl/>
              </w:rPr>
              <w:t>1.</w:t>
            </w:r>
          </w:p>
        </w:tc>
        <w:tc>
          <w:tcPr>
            <w:tcW w:w="7145" w:type="dxa"/>
            <w:gridSpan w:val="6"/>
          </w:tcPr>
          <w:p w14:paraId="1AE94DEB" w14:textId="033261C6" w:rsidR="004539CD" w:rsidRPr="004539CD" w:rsidRDefault="004539CD" w:rsidP="004539CD">
            <w:pPr>
              <w:pStyle w:val="TableBlock"/>
              <w:rPr>
                <w:b/>
                <w:bCs/>
                <w:sz w:val="26"/>
              </w:rPr>
            </w:pPr>
            <w:r w:rsidRPr="004539CD">
              <w:rPr>
                <w:sz w:val="26"/>
                <w:rtl/>
              </w:rPr>
              <w:t xml:space="preserve">בחוק הבחירות לכנסת [נוסח משולב] </w:t>
            </w:r>
            <w:proofErr w:type="spellStart"/>
            <w:r w:rsidRPr="004539CD">
              <w:rPr>
                <w:sz w:val="26"/>
                <w:rtl/>
              </w:rPr>
              <w:t>התשכ"ט</w:t>
            </w:r>
            <w:proofErr w:type="spellEnd"/>
            <w:r w:rsidRPr="004539CD">
              <w:rPr>
                <w:rFonts w:hint="cs"/>
                <w:b/>
                <w:bCs/>
                <w:sz w:val="26"/>
                <w:rtl/>
              </w:rPr>
              <w:t>–</w:t>
            </w:r>
            <w:r w:rsidRPr="004539CD">
              <w:rPr>
                <w:sz w:val="26"/>
                <w:rtl/>
              </w:rPr>
              <w:t>1969</w:t>
            </w:r>
            <w:r w:rsidRPr="004539CD">
              <w:rPr>
                <w:rStyle w:val="a6"/>
                <w:rFonts w:ascii="David" w:hAnsi="David"/>
                <w:b/>
                <w:bCs/>
                <w:sz w:val="26"/>
                <w:rtl/>
              </w:rPr>
              <w:footnoteReference w:id="2"/>
            </w:r>
            <w:r w:rsidRPr="004539CD">
              <w:rPr>
                <w:sz w:val="26"/>
                <w:rtl/>
              </w:rPr>
              <w:t xml:space="preserve"> (להלן</w:t>
            </w:r>
            <w:r w:rsidRPr="004539CD">
              <w:rPr>
                <w:rFonts w:hint="cs"/>
                <w:b/>
                <w:bCs/>
                <w:sz w:val="26"/>
                <w:rtl/>
              </w:rPr>
              <w:t xml:space="preserve"> </w:t>
            </w:r>
            <w:r w:rsidRPr="0075791C">
              <w:rPr>
                <w:rFonts w:hint="eastAsia"/>
                <w:sz w:val="26"/>
                <w:rtl/>
              </w:rPr>
              <w:t>–</w:t>
            </w:r>
            <w:r w:rsidRPr="0075791C">
              <w:rPr>
                <w:sz w:val="26"/>
                <w:rtl/>
              </w:rPr>
              <w:t xml:space="preserve"> החוק העיקרי)</w:t>
            </w:r>
            <w:r w:rsidRPr="0075791C">
              <w:rPr>
                <w:rFonts w:hint="cs"/>
                <w:sz w:val="26"/>
                <w:rtl/>
              </w:rPr>
              <w:t>,</w:t>
            </w:r>
            <w:r w:rsidRPr="004539CD">
              <w:rPr>
                <w:rFonts w:hint="cs"/>
                <w:b/>
                <w:bCs/>
                <w:sz w:val="26"/>
                <w:rtl/>
              </w:rPr>
              <w:t xml:space="preserve"> </w:t>
            </w:r>
            <w:r w:rsidRPr="004539CD">
              <w:rPr>
                <w:sz w:val="26"/>
                <w:rtl/>
              </w:rPr>
              <w:t>אחרי סעיף 116ז יבוא:</w:t>
            </w:r>
          </w:p>
        </w:tc>
      </w:tr>
      <w:tr w:rsidR="006D0D9D" w14:paraId="7105FF44" w14:textId="77777777" w:rsidTr="00274940">
        <w:trPr>
          <w:cantSplit/>
          <w:trHeight w:val="60"/>
        </w:trPr>
        <w:tc>
          <w:tcPr>
            <w:tcW w:w="1869" w:type="dxa"/>
          </w:tcPr>
          <w:p w14:paraId="6943113C" w14:textId="77777777" w:rsidR="006D0D9D" w:rsidRDefault="006D0D9D">
            <w:pPr>
              <w:pStyle w:val="TableSideHeading"/>
              <w:keepLines w:val="0"/>
            </w:pPr>
          </w:p>
        </w:tc>
        <w:tc>
          <w:tcPr>
            <w:tcW w:w="624" w:type="dxa"/>
          </w:tcPr>
          <w:p w14:paraId="4CF91C17" w14:textId="77777777" w:rsidR="006D0D9D" w:rsidRDefault="006D0D9D">
            <w:pPr>
              <w:pStyle w:val="TableText"/>
              <w:keepLines w:val="0"/>
            </w:pPr>
          </w:p>
        </w:tc>
        <w:tc>
          <w:tcPr>
            <w:tcW w:w="1872" w:type="dxa"/>
            <w:gridSpan w:val="3"/>
          </w:tcPr>
          <w:p w14:paraId="0BB76A69" w14:textId="1A264663" w:rsidR="006D0D9D" w:rsidRDefault="006D0D9D">
            <w:pPr>
              <w:pStyle w:val="TableInnerSideHeading"/>
            </w:pPr>
            <w:r w:rsidRPr="004539CD">
              <w:rPr>
                <w:rFonts w:hint="cs"/>
                <w:sz w:val="26"/>
                <w:rtl/>
              </w:rPr>
              <w:t>"בוחר חוץ</w:t>
            </w:r>
          </w:p>
        </w:tc>
        <w:tc>
          <w:tcPr>
            <w:tcW w:w="624" w:type="dxa"/>
          </w:tcPr>
          <w:p w14:paraId="1679FFA2" w14:textId="2D1BE9BA" w:rsidR="006D0D9D" w:rsidRDefault="006D0D9D">
            <w:pPr>
              <w:pStyle w:val="TableText"/>
            </w:pPr>
            <w:r w:rsidRPr="004539CD">
              <w:rPr>
                <w:rFonts w:hint="cs"/>
                <w:sz w:val="26"/>
                <w:rtl/>
              </w:rPr>
              <w:t>116ז1.</w:t>
            </w:r>
          </w:p>
        </w:tc>
        <w:tc>
          <w:tcPr>
            <w:tcW w:w="4649" w:type="dxa"/>
            <w:gridSpan w:val="2"/>
          </w:tcPr>
          <w:p w14:paraId="6150BA3F" w14:textId="5E769E73" w:rsidR="006D0D9D" w:rsidRDefault="006D0D9D">
            <w:pPr>
              <w:pStyle w:val="TableBlock"/>
            </w:pPr>
            <w:r>
              <w:rPr>
                <w:rFonts w:hint="cs"/>
                <w:sz w:val="26"/>
                <w:rtl/>
              </w:rPr>
              <w:t>(א)</w:t>
            </w:r>
            <w:r>
              <w:rPr>
                <w:sz w:val="26"/>
                <w:rtl/>
              </w:rPr>
              <w:tab/>
            </w:r>
            <w:r w:rsidRPr="004539CD">
              <w:rPr>
                <w:rFonts w:hint="cs"/>
                <w:sz w:val="26"/>
                <w:rtl/>
              </w:rPr>
              <w:t>בוחר הנמצא במדינת חוץ ביום הבחירות רשאי להצביע בקלפי מיוחדת שתוצב בנציגות כאמור בסעיף 116ז(א), אם התקיימו בו תנאים אלה:</w:t>
            </w:r>
          </w:p>
        </w:tc>
      </w:tr>
      <w:tr w:rsidR="00274940" w14:paraId="24BD9047" w14:textId="77777777" w:rsidTr="00274940">
        <w:trPr>
          <w:cantSplit/>
          <w:trHeight w:val="60"/>
        </w:trPr>
        <w:tc>
          <w:tcPr>
            <w:tcW w:w="1869" w:type="dxa"/>
          </w:tcPr>
          <w:p w14:paraId="5B171E72" w14:textId="77777777" w:rsidR="00274940" w:rsidRDefault="00274940">
            <w:pPr>
              <w:pStyle w:val="TableSideHeading"/>
            </w:pPr>
          </w:p>
        </w:tc>
        <w:tc>
          <w:tcPr>
            <w:tcW w:w="624" w:type="dxa"/>
          </w:tcPr>
          <w:p w14:paraId="20F7D6AE" w14:textId="77777777" w:rsidR="00274940" w:rsidRDefault="00274940">
            <w:pPr>
              <w:pStyle w:val="TableText"/>
            </w:pPr>
          </w:p>
        </w:tc>
        <w:tc>
          <w:tcPr>
            <w:tcW w:w="624" w:type="dxa"/>
          </w:tcPr>
          <w:p w14:paraId="5EF38DD4" w14:textId="77777777" w:rsidR="00274940" w:rsidRDefault="00274940">
            <w:pPr>
              <w:pStyle w:val="TableText"/>
            </w:pPr>
          </w:p>
        </w:tc>
        <w:tc>
          <w:tcPr>
            <w:tcW w:w="624" w:type="dxa"/>
          </w:tcPr>
          <w:p w14:paraId="4094D5D5" w14:textId="77777777" w:rsidR="00274940" w:rsidRDefault="00274940">
            <w:pPr>
              <w:pStyle w:val="TableText"/>
            </w:pPr>
          </w:p>
        </w:tc>
        <w:tc>
          <w:tcPr>
            <w:tcW w:w="624" w:type="dxa"/>
          </w:tcPr>
          <w:p w14:paraId="28DC21B9" w14:textId="77777777" w:rsidR="00274940" w:rsidRDefault="00274940">
            <w:pPr>
              <w:pStyle w:val="TableText"/>
            </w:pPr>
          </w:p>
        </w:tc>
        <w:tc>
          <w:tcPr>
            <w:tcW w:w="624" w:type="dxa"/>
          </w:tcPr>
          <w:p w14:paraId="20068BC7" w14:textId="77777777" w:rsidR="00274940" w:rsidRDefault="00274940">
            <w:pPr>
              <w:pStyle w:val="TableText"/>
            </w:pPr>
          </w:p>
        </w:tc>
        <w:tc>
          <w:tcPr>
            <w:tcW w:w="624" w:type="dxa"/>
          </w:tcPr>
          <w:p w14:paraId="362D1567" w14:textId="77777777" w:rsidR="00274940" w:rsidRDefault="00274940">
            <w:pPr>
              <w:pStyle w:val="TableText"/>
            </w:pPr>
          </w:p>
        </w:tc>
        <w:tc>
          <w:tcPr>
            <w:tcW w:w="4025" w:type="dxa"/>
          </w:tcPr>
          <w:p w14:paraId="7A9AEE86" w14:textId="38EED831" w:rsidR="00274940" w:rsidRDefault="00274940">
            <w:pPr>
              <w:pStyle w:val="TableBlock"/>
            </w:pPr>
            <w:r>
              <w:rPr>
                <w:rFonts w:hint="cs"/>
                <w:rtl/>
              </w:rPr>
              <w:t>(1)</w:t>
            </w:r>
            <w:r>
              <w:rPr>
                <w:rtl/>
              </w:rPr>
              <w:tab/>
            </w:r>
            <w:r>
              <w:rPr>
                <w:rFonts w:hint="cs"/>
                <w:rtl/>
              </w:rPr>
              <w:t>הוא הצביע בישראל בבחירות הקודמות שהתקיימו בה;</w:t>
            </w:r>
          </w:p>
        </w:tc>
      </w:tr>
      <w:tr w:rsidR="00274940" w14:paraId="106F3490" w14:textId="77777777" w:rsidTr="00274940">
        <w:trPr>
          <w:cantSplit/>
          <w:trHeight w:val="60"/>
        </w:trPr>
        <w:tc>
          <w:tcPr>
            <w:tcW w:w="1869" w:type="dxa"/>
          </w:tcPr>
          <w:p w14:paraId="16F81CD4" w14:textId="77777777" w:rsidR="00274940" w:rsidRDefault="00274940">
            <w:pPr>
              <w:pStyle w:val="TableSideHeading"/>
            </w:pPr>
          </w:p>
        </w:tc>
        <w:tc>
          <w:tcPr>
            <w:tcW w:w="624" w:type="dxa"/>
          </w:tcPr>
          <w:p w14:paraId="4776B0B4" w14:textId="77777777" w:rsidR="00274940" w:rsidRDefault="00274940" w:rsidP="00274940">
            <w:pPr>
              <w:pStyle w:val="TableText"/>
            </w:pPr>
          </w:p>
        </w:tc>
        <w:tc>
          <w:tcPr>
            <w:tcW w:w="624" w:type="dxa"/>
          </w:tcPr>
          <w:p w14:paraId="2F65D25E" w14:textId="77777777" w:rsidR="00274940" w:rsidRDefault="00274940">
            <w:pPr>
              <w:pStyle w:val="TableText"/>
            </w:pPr>
          </w:p>
        </w:tc>
        <w:tc>
          <w:tcPr>
            <w:tcW w:w="624" w:type="dxa"/>
          </w:tcPr>
          <w:p w14:paraId="704425FB" w14:textId="77777777" w:rsidR="00274940" w:rsidRDefault="00274940">
            <w:pPr>
              <w:pStyle w:val="TableText"/>
            </w:pPr>
          </w:p>
        </w:tc>
        <w:tc>
          <w:tcPr>
            <w:tcW w:w="624" w:type="dxa"/>
          </w:tcPr>
          <w:p w14:paraId="0171F31E" w14:textId="77777777" w:rsidR="00274940" w:rsidRDefault="00274940">
            <w:pPr>
              <w:pStyle w:val="TableText"/>
            </w:pPr>
          </w:p>
        </w:tc>
        <w:tc>
          <w:tcPr>
            <w:tcW w:w="624" w:type="dxa"/>
          </w:tcPr>
          <w:p w14:paraId="0B886CCA" w14:textId="77777777" w:rsidR="00274940" w:rsidRDefault="00274940">
            <w:pPr>
              <w:pStyle w:val="TableText"/>
            </w:pPr>
          </w:p>
        </w:tc>
        <w:tc>
          <w:tcPr>
            <w:tcW w:w="624" w:type="dxa"/>
          </w:tcPr>
          <w:p w14:paraId="0BC23F47" w14:textId="77777777" w:rsidR="00274940" w:rsidRDefault="00274940">
            <w:pPr>
              <w:pStyle w:val="TableText"/>
            </w:pPr>
          </w:p>
        </w:tc>
        <w:tc>
          <w:tcPr>
            <w:tcW w:w="4025" w:type="dxa"/>
          </w:tcPr>
          <w:p w14:paraId="3602471F" w14:textId="4BF1CAF5" w:rsidR="00274940" w:rsidRDefault="00274940">
            <w:pPr>
              <w:pStyle w:val="TableBlock"/>
              <w:rPr>
                <w:rtl/>
              </w:rPr>
            </w:pPr>
            <w:r>
              <w:rPr>
                <w:rFonts w:hint="cs"/>
                <w:rtl/>
              </w:rPr>
              <w:t>(2)</w:t>
            </w:r>
            <w:r>
              <w:rPr>
                <w:rtl/>
              </w:rPr>
              <w:tab/>
            </w:r>
            <w:r>
              <w:rPr>
                <w:rFonts w:hint="cs"/>
                <w:rtl/>
              </w:rPr>
              <w:t>שמו רשום בפנקס הבוחרים;</w:t>
            </w:r>
          </w:p>
        </w:tc>
      </w:tr>
      <w:tr w:rsidR="00274940" w14:paraId="4D2D74F4" w14:textId="77777777" w:rsidTr="00274940">
        <w:trPr>
          <w:cantSplit/>
          <w:trHeight w:val="60"/>
        </w:trPr>
        <w:tc>
          <w:tcPr>
            <w:tcW w:w="1869" w:type="dxa"/>
          </w:tcPr>
          <w:p w14:paraId="1A50B5F0" w14:textId="77777777" w:rsidR="00274940" w:rsidRDefault="00274940">
            <w:pPr>
              <w:pStyle w:val="TableSideHeading"/>
            </w:pPr>
          </w:p>
        </w:tc>
        <w:tc>
          <w:tcPr>
            <w:tcW w:w="624" w:type="dxa"/>
          </w:tcPr>
          <w:p w14:paraId="256084FE" w14:textId="77777777" w:rsidR="00274940" w:rsidRDefault="00274940" w:rsidP="00274940">
            <w:pPr>
              <w:pStyle w:val="TableText"/>
            </w:pPr>
          </w:p>
        </w:tc>
        <w:tc>
          <w:tcPr>
            <w:tcW w:w="624" w:type="dxa"/>
          </w:tcPr>
          <w:p w14:paraId="02DACD17" w14:textId="77777777" w:rsidR="00274940" w:rsidRDefault="00274940">
            <w:pPr>
              <w:pStyle w:val="TableText"/>
            </w:pPr>
          </w:p>
        </w:tc>
        <w:tc>
          <w:tcPr>
            <w:tcW w:w="624" w:type="dxa"/>
          </w:tcPr>
          <w:p w14:paraId="1EFA959E" w14:textId="77777777" w:rsidR="00274940" w:rsidRDefault="00274940">
            <w:pPr>
              <w:pStyle w:val="TableText"/>
            </w:pPr>
          </w:p>
        </w:tc>
        <w:tc>
          <w:tcPr>
            <w:tcW w:w="624" w:type="dxa"/>
          </w:tcPr>
          <w:p w14:paraId="0E4A92F7" w14:textId="77777777" w:rsidR="00274940" w:rsidRDefault="00274940">
            <w:pPr>
              <w:pStyle w:val="TableText"/>
            </w:pPr>
          </w:p>
        </w:tc>
        <w:tc>
          <w:tcPr>
            <w:tcW w:w="624" w:type="dxa"/>
          </w:tcPr>
          <w:p w14:paraId="5DF4B990" w14:textId="77777777" w:rsidR="00274940" w:rsidRDefault="00274940">
            <w:pPr>
              <w:pStyle w:val="TableText"/>
            </w:pPr>
          </w:p>
        </w:tc>
        <w:tc>
          <w:tcPr>
            <w:tcW w:w="624" w:type="dxa"/>
          </w:tcPr>
          <w:p w14:paraId="107FAD1F" w14:textId="77777777" w:rsidR="00274940" w:rsidRDefault="00274940">
            <w:pPr>
              <w:pStyle w:val="TableText"/>
            </w:pPr>
          </w:p>
        </w:tc>
        <w:tc>
          <w:tcPr>
            <w:tcW w:w="4025" w:type="dxa"/>
          </w:tcPr>
          <w:p w14:paraId="0D212FA5" w14:textId="335D5088" w:rsidR="00274940" w:rsidRDefault="00274940">
            <w:pPr>
              <w:pStyle w:val="TableBlock"/>
              <w:rPr>
                <w:rtl/>
              </w:rPr>
            </w:pPr>
            <w:r>
              <w:rPr>
                <w:rFonts w:hint="cs"/>
                <w:rtl/>
              </w:rPr>
              <w:t>(3)</w:t>
            </w:r>
            <w:r>
              <w:rPr>
                <w:rtl/>
              </w:rPr>
              <w:tab/>
            </w:r>
            <w:r>
              <w:rPr>
                <w:rFonts w:hint="cs"/>
                <w:rtl/>
              </w:rPr>
              <w:t>הוא הגיש לשר הפנים בקשה בכתב, באופן ובנוסח שייקבע שר הפנים בתקנות, כי ברצונו להצביע בקלפי בנציגות, לא יאוחר מהיום ה-83 שלפני יום הבחירות, וצירף לה הצהרה כי בכוונתו לשוב ולחיות בישראל.</w:t>
            </w:r>
          </w:p>
        </w:tc>
      </w:tr>
      <w:tr w:rsidR="00274940" w14:paraId="026E2BE1" w14:textId="77777777" w:rsidTr="00274940">
        <w:trPr>
          <w:cantSplit/>
          <w:trHeight w:val="60"/>
        </w:trPr>
        <w:tc>
          <w:tcPr>
            <w:tcW w:w="1869" w:type="dxa"/>
          </w:tcPr>
          <w:p w14:paraId="7FF04826" w14:textId="77777777" w:rsidR="00274940" w:rsidRDefault="00274940">
            <w:pPr>
              <w:pStyle w:val="TableSideHeading"/>
            </w:pPr>
          </w:p>
        </w:tc>
        <w:tc>
          <w:tcPr>
            <w:tcW w:w="624" w:type="dxa"/>
          </w:tcPr>
          <w:p w14:paraId="400CDEBA" w14:textId="77777777" w:rsidR="00274940" w:rsidRDefault="00274940">
            <w:pPr>
              <w:pStyle w:val="TableText"/>
            </w:pPr>
          </w:p>
        </w:tc>
        <w:tc>
          <w:tcPr>
            <w:tcW w:w="624" w:type="dxa"/>
          </w:tcPr>
          <w:p w14:paraId="48C96867" w14:textId="77777777" w:rsidR="00274940" w:rsidRDefault="00274940">
            <w:pPr>
              <w:pStyle w:val="TableText"/>
            </w:pPr>
          </w:p>
        </w:tc>
        <w:tc>
          <w:tcPr>
            <w:tcW w:w="624" w:type="dxa"/>
          </w:tcPr>
          <w:p w14:paraId="71B7014B" w14:textId="77777777" w:rsidR="00274940" w:rsidRDefault="00274940">
            <w:pPr>
              <w:pStyle w:val="TableText"/>
            </w:pPr>
          </w:p>
        </w:tc>
        <w:tc>
          <w:tcPr>
            <w:tcW w:w="624" w:type="dxa"/>
          </w:tcPr>
          <w:p w14:paraId="14B99E33" w14:textId="77777777" w:rsidR="00274940" w:rsidRDefault="00274940">
            <w:pPr>
              <w:pStyle w:val="TableText"/>
            </w:pPr>
          </w:p>
        </w:tc>
        <w:tc>
          <w:tcPr>
            <w:tcW w:w="624" w:type="dxa"/>
          </w:tcPr>
          <w:p w14:paraId="2FF6B90F" w14:textId="77777777" w:rsidR="00274940" w:rsidRDefault="00274940">
            <w:pPr>
              <w:pStyle w:val="TableText"/>
            </w:pPr>
          </w:p>
        </w:tc>
        <w:tc>
          <w:tcPr>
            <w:tcW w:w="4649" w:type="dxa"/>
            <w:gridSpan w:val="2"/>
          </w:tcPr>
          <w:p w14:paraId="27264693" w14:textId="28C4C595" w:rsidR="00274940" w:rsidRDefault="00274940">
            <w:pPr>
              <w:pStyle w:val="TableBlock"/>
            </w:pPr>
            <w:r>
              <w:rPr>
                <w:rFonts w:hint="cs"/>
                <w:sz w:val="26"/>
                <w:rtl/>
              </w:rPr>
              <w:t>(ב)</w:t>
            </w:r>
            <w:r w:rsidRPr="004539CD">
              <w:rPr>
                <w:sz w:val="26"/>
                <w:rtl/>
              </w:rPr>
              <w:tab/>
            </w:r>
            <w:r>
              <w:rPr>
                <w:rFonts w:hint="cs"/>
                <w:sz w:val="26"/>
                <w:rtl/>
              </w:rPr>
              <w:t>על אף האמור בסעיף קטן (א)(1), בוחר רשאי להצביע פעם אחת נוספת בלבד בנציגות כאמור, אם יום הבחירות נקבע למועד שיחול</w:t>
            </w:r>
            <w:r w:rsidRPr="004539CD">
              <w:rPr>
                <w:rFonts w:hint="cs"/>
                <w:sz w:val="26"/>
                <w:rtl/>
              </w:rPr>
              <w:t xml:space="preserve"> </w:t>
            </w:r>
            <w:r>
              <w:rPr>
                <w:rFonts w:hint="cs"/>
                <w:sz w:val="26"/>
                <w:rtl/>
              </w:rPr>
              <w:t>בתוך</w:t>
            </w:r>
            <w:r w:rsidRPr="004539CD">
              <w:rPr>
                <w:rFonts w:hint="cs"/>
                <w:sz w:val="26"/>
                <w:rtl/>
              </w:rPr>
              <w:t xml:space="preserve"> שנתיים מיום הבחירות הקודם.</w:t>
            </w:r>
          </w:p>
        </w:tc>
      </w:tr>
      <w:tr w:rsidR="00274940" w14:paraId="791FD231" w14:textId="77777777" w:rsidTr="00274940">
        <w:trPr>
          <w:cantSplit/>
          <w:trHeight w:val="60"/>
        </w:trPr>
        <w:tc>
          <w:tcPr>
            <w:tcW w:w="1869" w:type="dxa"/>
          </w:tcPr>
          <w:p w14:paraId="4431CAF3" w14:textId="77777777" w:rsidR="00274940" w:rsidRDefault="00274940" w:rsidP="00274940">
            <w:pPr>
              <w:pStyle w:val="TableSideHeading"/>
            </w:pPr>
          </w:p>
        </w:tc>
        <w:tc>
          <w:tcPr>
            <w:tcW w:w="624" w:type="dxa"/>
          </w:tcPr>
          <w:p w14:paraId="45439ED9" w14:textId="77777777" w:rsidR="00274940" w:rsidRDefault="00274940" w:rsidP="00274940">
            <w:pPr>
              <w:pStyle w:val="TableText"/>
            </w:pPr>
          </w:p>
        </w:tc>
        <w:tc>
          <w:tcPr>
            <w:tcW w:w="624" w:type="dxa"/>
          </w:tcPr>
          <w:p w14:paraId="4E31CB1D" w14:textId="77777777" w:rsidR="00274940" w:rsidRDefault="00274940" w:rsidP="00274940">
            <w:pPr>
              <w:pStyle w:val="TableText"/>
            </w:pPr>
          </w:p>
        </w:tc>
        <w:tc>
          <w:tcPr>
            <w:tcW w:w="624" w:type="dxa"/>
          </w:tcPr>
          <w:p w14:paraId="674A0108" w14:textId="77777777" w:rsidR="00274940" w:rsidRDefault="00274940" w:rsidP="00274940">
            <w:pPr>
              <w:pStyle w:val="TableText"/>
            </w:pPr>
          </w:p>
        </w:tc>
        <w:tc>
          <w:tcPr>
            <w:tcW w:w="624" w:type="dxa"/>
          </w:tcPr>
          <w:p w14:paraId="1D168685" w14:textId="77777777" w:rsidR="00274940" w:rsidRDefault="00274940" w:rsidP="00274940">
            <w:pPr>
              <w:pStyle w:val="TableText"/>
            </w:pPr>
          </w:p>
        </w:tc>
        <w:tc>
          <w:tcPr>
            <w:tcW w:w="624" w:type="dxa"/>
          </w:tcPr>
          <w:p w14:paraId="04336467" w14:textId="77777777" w:rsidR="00274940" w:rsidRDefault="00274940" w:rsidP="00274940">
            <w:pPr>
              <w:pStyle w:val="TableText"/>
            </w:pPr>
          </w:p>
        </w:tc>
        <w:tc>
          <w:tcPr>
            <w:tcW w:w="4649" w:type="dxa"/>
            <w:gridSpan w:val="2"/>
          </w:tcPr>
          <w:p w14:paraId="429F6CDA" w14:textId="081215C6" w:rsidR="00274940" w:rsidRDefault="00274940" w:rsidP="00274940">
            <w:pPr>
              <w:pStyle w:val="TableBlock"/>
              <w:rPr>
                <w:sz w:val="26"/>
                <w:rtl/>
              </w:rPr>
            </w:pPr>
            <w:r w:rsidRPr="004539CD">
              <w:rPr>
                <w:rFonts w:hint="cs"/>
                <w:sz w:val="26"/>
                <w:rtl/>
              </w:rPr>
              <w:t>(</w:t>
            </w:r>
            <w:r>
              <w:rPr>
                <w:rFonts w:hint="cs"/>
                <w:sz w:val="26"/>
                <w:rtl/>
              </w:rPr>
              <w:t>ג</w:t>
            </w:r>
            <w:r w:rsidRPr="004539CD">
              <w:rPr>
                <w:rFonts w:hint="cs"/>
                <w:sz w:val="26"/>
                <w:rtl/>
              </w:rPr>
              <w:t>)</w:t>
            </w:r>
            <w:r w:rsidRPr="004539CD">
              <w:rPr>
                <w:sz w:val="26"/>
                <w:rtl/>
              </w:rPr>
              <w:tab/>
            </w:r>
            <w:r>
              <w:rPr>
                <w:rFonts w:hint="cs"/>
                <w:sz w:val="26"/>
                <w:rtl/>
              </w:rPr>
              <w:t xml:space="preserve">שר הפנים יעביר לוועדה המרכזית, לשר החוץ ולנציגויות, לא יאוחר מהיום ה-53 שלפני יום הבחירות, </w:t>
            </w:r>
            <w:r w:rsidRPr="004539CD">
              <w:rPr>
                <w:sz w:val="26"/>
                <w:rtl/>
              </w:rPr>
              <w:t>רשימה של הבוחרים</w:t>
            </w:r>
            <w:r>
              <w:rPr>
                <w:rFonts w:hint="cs"/>
                <w:sz w:val="26"/>
                <w:rtl/>
              </w:rPr>
              <w:t xml:space="preserve"> הזכאים להצביע בנציגות לפי סעיף קטן (א),</w:t>
            </w:r>
            <w:r w:rsidRPr="004539CD">
              <w:rPr>
                <w:sz w:val="26"/>
                <w:rtl/>
              </w:rPr>
              <w:t xml:space="preserve"> </w:t>
            </w:r>
            <w:r>
              <w:rPr>
                <w:rFonts w:hint="cs"/>
                <w:sz w:val="26"/>
                <w:rtl/>
              </w:rPr>
              <w:t>ו</w:t>
            </w:r>
            <w:r w:rsidRPr="004539CD">
              <w:rPr>
                <w:sz w:val="26"/>
                <w:rtl/>
              </w:rPr>
              <w:t xml:space="preserve">יודיע לכל בוחר </w:t>
            </w:r>
            <w:r>
              <w:rPr>
                <w:rFonts w:hint="cs"/>
                <w:sz w:val="26"/>
                <w:rtl/>
              </w:rPr>
              <w:t>שאינו זכאי להצביע בנציגות לפי סעיף קטן (א) על דחיית</w:t>
            </w:r>
            <w:r w:rsidRPr="004539CD">
              <w:rPr>
                <w:sz w:val="26"/>
                <w:rtl/>
              </w:rPr>
              <w:t xml:space="preserve"> בקשתו.</w:t>
            </w:r>
          </w:p>
        </w:tc>
      </w:tr>
      <w:tr w:rsidR="00274940" w14:paraId="1B1A091E" w14:textId="77777777" w:rsidTr="00274940">
        <w:trPr>
          <w:cantSplit/>
          <w:trHeight w:val="60"/>
        </w:trPr>
        <w:tc>
          <w:tcPr>
            <w:tcW w:w="1869" w:type="dxa"/>
          </w:tcPr>
          <w:p w14:paraId="627E6325" w14:textId="77777777" w:rsidR="00274940" w:rsidRDefault="00274940" w:rsidP="00274940">
            <w:pPr>
              <w:pStyle w:val="TableSideHeading"/>
            </w:pPr>
          </w:p>
        </w:tc>
        <w:tc>
          <w:tcPr>
            <w:tcW w:w="624" w:type="dxa"/>
          </w:tcPr>
          <w:p w14:paraId="25AE5B3C" w14:textId="77777777" w:rsidR="00274940" w:rsidRDefault="00274940" w:rsidP="00274940">
            <w:pPr>
              <w:pStyle w:val="TableText"/>
            </w:pPr>
          </w:p>
        </w:tc>
        <w:tc>
          <w:tcPr>
            <w:tcW w:w="624" w:type="dxa"/>
          </w:tcPr>
          <w:p w14:paraId="2CEEC9A4" w14:textId="77777777" w:rsidR="00274940" w:rsidRDefault="00274940" w:rsidP="00274940">
            <w:pPr>
              <w:pStyle w:val="TableText"/>
            </w:pPr>
          </w:p>
        </w:tc>
        <w:tc>
          <w:tcPr>
            <w:tcW w:w="624" w:type="dxa"/>
          </w:tcPr>
          <w:p w14:paraId="5FBA5EEF" w14:textId="77777777" w:rsidR="00274940" w:rsidRDefault="00274940" w:rsidP="00274940">
            <w:pPr>
              <w:pStyle w:val="TableText"/>
            </w:pPr>
          </w:p>
        </w:tc>
        <w:tc>
          <w:tcPr>
            <w:tcW w:w="624" w:type="dxa"/>
          </w:tcPr>
          <w:p w14:paraId="0BD8E62C" w14:textId="77777777" w:rsidR="00274940" w:rsidRDefault="00274940" w:rsidP="00274940">
            <w:pPr>
              <w:pStyle w:val="TableText"/>
            </w:pPr>
          </w:p>
        </w:tc>
        <w:tc>
          <w:tcPr>
            <w:tcW w:w="624" w:type="dxa"/>
          </w:tcPr>
          <w:p w14:paraId="1B02D651" w14:textId="77777777" w:rsidR="00274940" w:rsidRDefault="00274940" w:rsidP="00274940">
            <w:pPr>
              <w:pStyle w:val="TableText"/>
            </w:pPr>
          </w:p>
        </w:tc>
        <w:tc>
          <w:tcPr>
            <w:tcW w:w="4649" w:type="dxa"/>
            <w:gridSpan w:val="2"/>
          </w:tcPr>
          <w:p w14:paraId="56E49AF8" w14:textId="38D9FAA3" w:rsidR="00274940" w:rsidRDefault="00274940" w:rsidP="00274940">
            <w:pPr>
              <w:pStyle w:val="TableBlock"/>
              <w:rPr>
                <w:sz w:val="26"/>
                <w:rtl/>
              </w:rPr>
            </w:pPr>
            <w:r w:rsidRPr="004539CD">
              <w:rPr>
                <w:rFonts w:hint="cs"/>
                <w:sz w:val="26"/>
                <w:rtl/>
              </w:rPr>
              <w:t>(</w:t>
            </w:r>
            <w:r>
              <w:rPr>
                <w:rFonts w:hint="cs"/>
                <w:sz w:val="26"/>
                <w:rtl/>
              </w:rPr>
              <w:t>ד</w:t>
            </w:r>
            <w:r w:rsidRPr="004539CD">
              <w:rPr>
                <w:rFonts w:hint="cs"/>
                <w:sz w:val="26"/>
                <w:rtl/>
              </w:rPr>
              <w:t>)</w:t>
            </w:r>
            <w:r w:rsidRPr="004539CD">
              <w:rPr>
                <w:sz w:val="26"/>
                <w:rtl/>
              </w:rPr>
              <w:tab/>
              <w:t>הנציגויות יודיעו</w:t>
            </w:r>
            <w:r>
              <w:rPr>
                <w:rFonts w:hint="cs"/>
                <w:sz w:val="26"/>
                <w:rtl/>
              </w:rPr>
              <w:t>,</w:t>
            </w:r>
            <w:r w:rsidRPr="004539CD">
              <w:rPr>
                <w:sz w:val="26"/>
                <w:rtl/>
              </w:rPr>
              <w:t xml:space="preserve"> לא יאוחר</w:t>
            </w:r>
            <w:r w:rsidRPr="004539CD">
              <w:rPr>
                <w:rFonts w:hint="cs"/>
                <w:sz w:val="26"/>
                <w:rtl/>
              </w:rPr>
              <w:t xml:space="preserve"> </w:t>
            </w:r>
            <w:r w:rsidRPr="004539CD">
              <w:rPr>
                <w:sz w:val="26"/>
                <w:rtl/>
              </w:rPr>
              <w:t>מהיום ה</w:t>
            </w:r>
            <w:r>
              <w:rPr>
                <w:rFonts w:hint="cs"/>
                <w:sz w:val="26"/>
                <w:rtl/>
              </w:rPr>
              <w:t>-</w:t>
            </w:r>
            <w:r w:rsidRPr="004539CD">
              <w:rPr>
                <w:sz w:val="26"/>
                <w:rtl/>
              </w:rPr>
              <w:t>42 שלפני יום הבחירות</w:t>
            </w:r>
            <w:r w:rsidRPr="004539CD">
              <w:rPr>
                <w:rFonts w:hint="cs"/>
                <w:sz w:val="26"/>
                <w:rtl/>
              </w:rPr>
              <w:t>,</w:t>
            </w:r>
            <w:r w:rsidRPr="004539CD">
              <w:rPr>
                <w:sz w:val="26"/>
                <w:rtl/>
              </w:rPr>
              <w:t xml:space="preserve">  לכל</w:t>
            </w:r>
            <w:r w:rsidRPr="004539CD">
              <w:rPr>
                <w:rFonts w:hint="cs"/>
                <w:sz w:val="26"/>
                <w:rtl/>
              </w:rPr>
              <w:t xml:space="preserve"> </w:t>
            </w:r>
            <w:r w:rsidRPr="004539CD">
              <w:rPr>
                <w:sz w:val="26"/>
                <w:rtl/>
              </w:rPr>
              <w:t xml:space="preserve">בוחר </w:t>
            </w:r>
            <w:r>
              <w:rPr>
                <w:rFonts w:hint="cs"/>
                <w:sz w:val="26"/>
                <w:rtl/>
              </w:rPr>
              <w:t>ששמו נמצא ברשימת הבוחרים הזכאים כאמור בסעיף קטן (ג)</w:t>
            </w:r>
            <w:r w:rsidRPr="004539CD">
              <w:rPr>
                <w:sz w:val="26"/>
                <w:rtl/>
              </w:rPr>
              <w:t xml:space="preserve"> על זכ</w:t>
            </w:r>
            <w:r>
              <w:rPr>
                <w:rFonts w:hint="cs"/>
                <w:sz w:val="26"/>
                <w:rtl/>
              </w:rPr>
              <w:t>אותו</w:t>
            </w:r>
            <w:r w:rsidRPr="004539CD">
              <w:rPr>
                <w:sz w:val="26"/>
                <w:rtl/>
              </w:rPr>
              <w:t xml:space="preserve"> להצביע בנציגות</w:t>
            </w:r>
            <w:r w:rsidRPr="004539CD">
              <w:rPr>
                <w:rFonts w:hint="cs"/>
                <w:sz w:val="26"/>
                <w:rtl/>
              </w:rPr>
              <w:t>.</w:t>
            </w:r>
          </w:p>
        </w:tc>
      </w:tr>
      <w:tr w:rsidR="00274940" w14:paraId="775F912E" w14:textId="77777777" w:rsidTr="00274940">
        <w:trPr>
          <w:cantSplit/>
          <w:trHeight w:val="60"/>
        </w:trPr>
        <w:tc>
          <w:tcPr>
            <w:tcW w:w="1869" w:type="dxa"/>
          </w:tcPr>
          <w:p w14:paraId="0B69B7C3" w14:textId="77777777" w:rsidR="00274940" w:rsidRDefault="00274940" w:rsidP="00274940">
            <w:pPr>
              <w:pStyle w:val="TableSideHeading"/>
            </w:pPr>
          </w:p>
        </w:tc>
        <w:tc>
          <w:tcPr>
            <w:tcW w:w="624" w:type="dxa"/>
          </w:tcPr>
          <w:p w14:paraId="71BB6C7C" w14:textId="77777777" w:rsidR="00274940" w:rsidRDefault="00274940" w:rsidP="00274940">
            <w:pPr>
              <w:pStyle w:val="TableText"/>
            </w:pPr>
          </w:p>
        </w:tc>
        <w:tc>
          <w:tcPr>
            <w:tcW w:w="624" w:type="dxa"/>
          </w:tcPr>
          <w:p w14:paraId="3E3DB72D" w14:textId="77777777" w:rsidR="00274940" w:rsidRDefault="00274940" w:rsidP="00274940">
            <w:pPr>
              <w:pStyle w:val="TableText"/>
            </w:pPr>
          </w:p>
        </w:tc>
        <w:tc>
          <w:tcPr>
            <w:tcW w:w="624" w:type="dxa"/>
          </w:tcPr>
          <w:p w14:paraId="60A90300" w14:textId="77777777" w:rsidR="00274940" w:rsidRDefault="00274940" w:rsidP="00274940">
            <w:pPr>
              <w:pStyle w:val="TableText"/>
            </w:pPr>
          </w:p>
        </w:tc>
        <w:tc>
          <w:tcPr>
            <w:tcW w:w="624" w:type="dxa"/>
          </w:tcPr>
          <w:p w14:paraId="4EE5060B" w14:textId="77777777" w:rsidR="00274940" w:rsidRDefault="00274940" w:rsidP="00274940">
            <w:pPr>
              <w:pStyle w:val="TableText"/>
            </w:pPr>
          </w:p>
        </w:tc>
        <w:tc>
          <w:tcPr>
            <w:tcW w:w="624" w:type="dxa"/>
          </w:tcPr>
          <w:p w14:paraId="4325B52E" w14:textId="77777777" w:rsidR="00274940" w:rsidRDefault="00274940" w:rsidP="00274940">
            <w:pPr>
              <w:pStyle w:val="TableText"/>
            </w:pPr>
          </w:p>
        </w:tc>
        <w:tc>
          <w:tcPr>
            <w:tcW w:w="4649" w:type="dxa"/>
            <w:gridSpan w:val="2"/>
          </w:tcPr>
          <w:p w14:paraId="18A46FBE" w14:textId="1D71116A" w:rsidR="00274940" w:rsidRDefault="00274940" w:rsidP="00274940">
            <w:pPr>
              <w:pStyle w:val="TableBlock"/>
              <w:rPr>
                <w:sz w:val="26"/>
                <w:rtl/>
              </w:rPr>
            </w:pPr>
            <w:r w:rsidRPr="004539CD">
              <w:rPr>
                <w:rFonts w:hint="cs"/>
                <w:sz w:val="26"/>
                <w:rtl/>
              </w:rPr>
              <w:t>(</w:t>
            </w:r>
            <w:r>
              <w:rPr>
                <w:rFonts w:hint="cs"/>
                <w:sz w:val="26"/>
                <w:rtl/>
              </w:rPr>
              <w:t>ה</w:t>
            </w:r>
            <w:r w:rsidRPr="004539CD">
              <w:rPr>
                <w:rFonts w:hint="cs"/>
                <w:sz w:val="26"/>
                <w:rtl/>
              </w:rPr>
              <w:t>)</w:t>
            </w:r>
            <w:r w:rsidRPr="004539CD">
              <w:rPr>
                <w:sz w:val="26"/>
                <w:rtl/>
              </w:rPr>
              <w:tab/>
              <w:t>בוחר שלא קיבל הודעה כאמור</w:t>
            </w:r>
            <w:r w:rsidRPr="004539CD">
              <w:rPr>
                <w:rFonts w:hint="cs"/>
                <w:sz w:val="26"/>
                <w:rtl/>
              </w:rPr>
              <w:t xml:space="preserve"> </w:t>
            </w:r>
            <w:r w:rsidRPr="004539CD">
              <w:rPr>
                <w:sz w:val="26"/>
                <w:rtl/>
              </w:rPr>
              <w:t xml:space="preserve">בסעיף קטן </w:t>
            </w:r>
            <w:r w:rsidRPr="004539CD">
              <w:rPr>
                <w:rFonts w:hint="cs"/>
                <w:sz w:val="26"/>
                <w:rtl/>
              </w:rPr>
              <w:t>(</w:t>
            </w:r>
            <w:r>
              <w:rPr>
                <w:rFonts w:hint="cs"/>
                <w:sz w:val="26"/>
                <w:rtl/>
              </w:rPr>
              <w:t>ד</w:t>
            </w:r>
            <w:r w:rsidRPr="004539CD">
              <w:rPr>
                <w:rFonts w:hint="cs"/>
                <w:sz w:val="26"/>
                <w:rtl/>
              </w:rPr>
              <w:t>)</w:t>
            </w:r>
            <w:r w:rsidRPr="004539CD">
              <w:rPr>
                <w:sz w:val="26"/>
                <w:rtl/>
              </w:rPr>
              <w:t xml:space="preserve"> או בוחר </w:t>
            </w:r>
            <w:r>
              <w:rPr>
                <w:rFonts w:hint="cs"/>
                <w:sz w:val="26"/>
                <w:rtl/>
              </w:rPr>
              <w:t>ש</w:t>
            </w:r>
            <w:r w:rsidRPr="004539CD">
              <w:rPr>
                <w:sz w:val="26"/>
                <w:rtl/>
              </w:rPr>
              <w:t>קיבל</w:t>
            </w:r>
            <w:r w:rsidRPr="004539CD">
              <w:rPr>
                <w:rFonts w:hint="cs"/>
                <w:sz w:val="26"/>
                <w:rtl/>
              </w:rPr>
              <w:t xml:space="preserve"> </w:t>
            </w:r>
            <w:r w:rsidRPr="004539CD">
              <w:rPr>
                <w:sz w:val="26"/>
                <w:rtl/>
              </w:rPr>
              <w:t xml:space="preserve">הודעה </w:t>
            </w:r>
            <w:r>
              <w:rPr>
                <w:rFonts w:hint="cs"/>
                <w:sz w:val="26"/>
                <w:rtl/>
              </w:rPr>
              <w:t xml:space="preserve">על דחיית </w:t>
            </w:r>
            <w:r w:rsidRPr="004539CD">
              <w:rPr>
                <w:sz w:val="26"/>
                <w:rtl/>
              </w:rPr>
              <w:t>בקשתו כאמור</w:t>
            </w:r>
            <w:r w:rsidRPr="004539CD">
              <w:rPr>
                <w:rFonts w:hint="cs"/>
                <w:sz w:val="26"/>
                <w:rtl/>
              </w:rPr>
              <w:t xml:space="preserve"> </w:t>
            </w:r>
            <w:r w:rsidRPr="004539CD">
              <w:rPr>
                <w:sz w:val="26"/>
                <w:rtl/>
              </w:rPr>
              <w:t xml:space="preserve">בסעיף קטן </w:t>
            </w:r>
            <w:r w:rsidRPr="004539CD">
              <w:rPr>
                <w:rFonts w:hint="cs"/>
                <w:sz w:val="26"/>
                <w:rtl/>
              </w:rPr>
              <w:t>(</w:t>
            </w:r>
            <w:r>
              <w:rPr>
                <w:rFonts w:hint="cs"/>
                <w:sz w:val="26"/>
                <w:rtl/>
              </w:rPr>
              <w:t>ג</w:t>
            </w:r>
            <w:r w:rsidRPr="004539CD">
              <w:rPr>
                <w:rFonts w:hint="cs"/>
                <w:sz w:val="26"/>
                <w:rtl/>
              </w:rPr>
              <w:t xml:space="preserve">) </w:t>
            </w:r>
            <w:r w:rsidRPr="004539CD">
              <w:rPr>
                <w:sz w:val="26"/>
                <w:rtl/>
              </w:rPr>
              <w:t>וטוען שהוא זכאי</w:t>
            </w:r>
            <w:r w:rsidRPr="004539CD">
              <w:rPr>
                <w:rFonts w:hint="cs"/>
                <w:sz w:val="26"/>
                <w:rtl/>
              </w:rPr>
              <w:t xml:space="preserve"> </w:t>
            </w:r>
            <w:r w:rsidRPr="004539CD">
              <w:rPr>
                <w:sz w:val="26"/>
                <w:rtl/>
              </w:rPr>
              <w:t>להצביע בנציגות, רשאי לערור</w:t>
            </w:r>
            <w:r w:rsidRPr="004539CD">
              <w:rPr>
                <w:rFonts w:hint="cs"/>
                <w:sz w:val="26"/>
                <w:rtl/>
              </w:rPr>
              <w:t xml:space="preserve"> </w:t>
            </w:r>
            <w:r w:rsidRPr="004539CD">
              <w:rPr>
                <w:sz w:val="26"/>
                <w:rtl/>
              </w:rPr>
              <w:t>על כך לפני יושב ראש הוועדה</w:t>
            </w:r>
            <w:r w:rsidRPr="004539CD">
              <w:rPr>
                <w:rFonts w:hint="cs"/>
                <w:sz w:val="26"/>
                <w:rtl/>
              </w:rPr>
              <w:t xml:space="preserve"> </w:t>
            </w:r>
            <w:r w:rsidRPr="004539CD">
              <w:rPr>
                <w:sz w:val="26"/>
                <w:rtl/>
              </w:rPr>
              <w:t>המרכזית לא יאוחר מהיום ה</w:t>
            </w:r>
            <w:r>
              <w:rPr>
                <w:rFonts w:hint="cs"/>
                <w:sz w:val="26"/>
                <w:rtl/>
              </w:rPr>
              <w:t>-</w:t>
            </w:r>
            <w:r w:rsidRPr="004539CD">
              <w:rPr>
                <w:sz w:val="26"/>
                <w:rtl/>
              </w:rPr>
              <w:t>35</w:t>
            </w:r>
            <w:r w:rsidRPr="004539CD">
              <w:rPr>
                <w:rFonts w:hint="cs"/>
                <w:sz w:val="26"/>
                <w:rtl/>
              </w:rPr>
              <w:t xml:space="preserve"> </w:t>
            </w:r>
            <w:r w:rsidRPr="004539CD">
              <w:rPr>
                <w:sz w:val="26"/>
                <w:rtl/>
              </w:rPr>
              <w:t xml:space="preserve">שלפני יום </w:t>
            </w:r>
            <w:r w:rsidRPr="004539CD">
              <w:rPr>
                <w:rFonts w:hint="cs"/>
                <w:sz w:val="26"/>
                <w:rtl/>
              </w:rPr>
              <w:t>ה</w:t>
            </w:r>
            <w:r w:rsidRPr="004539CD">
              <w:rPr>
                <w:sz w:val="26"/>
                <w:rtl/>
              </w:rPr>
              <w:t>בחירות, והחלטתו</w:t>
            </w:r>
            <w:r w:rsidRPr="004539CD">
              <w:rPr>
                <w:rFonts w:hint="cs"/>
                <w:sz w:val="26"/>
                <w:rtl/>
              </w:rPr>
              <w:t xml:space="preserve"> </w:t>
            </w:r>
            <w:r w:rsidRPr="004539CD">
              <w:rPr>
                <w:sz w:val="26"/>
                <w:rtl/>
              </w:rPr>
              <w:t>של היושב ראש תהיה סופית</w:t>
            </w:r>
            <w:r>
              <w:rPr>
                <w:rFonts w:hint="cs"/>
                <w:sz w:val="26"/>
                <w:rtl/>
              </w:rPr>
              <w:t>;</w:t>
            </w:r>
            <w:r w:rsidRPr="004539CD">
              <w:rPr>
                <w:rFonts w:hint="cs"/>
                <w:sz w:val="26"/>
                <w:rtl/>
              </w:rPr>
              <w:t xml:space="preserve"> הודעה על החלט</w:t>
            </w:r>
            <w:r>
              <w:rPr>
                <w:rFonts w:hint="cs"/>
                <w:sz w:val="26"/>
                <w:rtl/>
              </w:rPr>
              <w:t>ת</w:t>
            </w:r>
            <w:r w:rsidRPr="004539CD">
              <w:rPr>
                <w:rFonts w:hint="cs"/>
                <w:sz w:val="26"/>
                <w:rtl/>
              </w:rPr>
              <w:t xml:space="preserve"> </w:t>
            </w:r>
            <w:r>
              <w:rPr>
                <w:rFonts w:hint="cs"/>
                <w:sz w:val="26"/>
                <w:rtl/>
              </w:rPr>
              <w:t xml:space="preserve">היושב ראש </w:t>
            </w:r>
            <w:r w:rsidRPr="004539CD">
              <w:rPr>
                <w:rFonts w:hint="cs"/>
                <w:sz w:val="26"/>
                <w:rtl/>
              </w:rPr>
              <w:t>כאמור תימסר לא יאוחר מהיום ה-28 שלפני יום הבחירות.</w:t>
            </w:r>
          </w:p>
        </w:tc>
      </w:tr>
      <w:tr w:rsidR="00274940" w14:paraId="7FF2003B" w14:textId="77777777" w:rsidTr="00274940">
        <w:trPr>
          <w:cantSplit/>
          <w:trHeight w:val="60"/>
        </w:trPr>
        <w:tc>
          <w:tcPr>
            <w:tcW w:w="1869" w:type="dxa"/>
          </w:tcPr>
          <w:p w14:paraId="7BF84984" w14:textId="77777777" w:rsidR="00274940" w:rsidRDefault="00274940" w:rsidP="00274940">
            <w:pPr>
              <w:pStyle w:val="TableSideHeading"/>
            </w:pPr>
          </w:p>
        </w:tc>
        <w:tc>
          <w:tcPr>
            <w:tcW w:w="624" w:type="dxa"/>
          </w:tcPr>
          <w:p w14:paraId="7F294DFA" w14:textId="77777777" w:rsidR="00274940" w:rsidRDefault="00274940" w:rsidP="00274940">
            <w:pPr>
              <w:pStyle w:val="TableText"/>
            </w:pPr>
          </w:p>
        </w:tc>
        <w:tc>
          <w:tcPr>
            <w:tcW w:w="624" w:type="dxa"/>
          </w:tcPr>
          <w:p w14:paraId="6EA167EE" w14:textId="77777777" w:rsidR="00274940" w:rsidRDefault="00274940" w:rsidP="00274940">
            <w:pPr>
              <w:pStyle w:val="TableText"/>
            </w:pPr>
          </w:p>
        </w:tc>
        <w:tc>
          <w:tcPr>
            <w:tcW w:w="624" w:type="dxa"/>
          </w:tcPr>
          <w:p w14:paraId="411CF5E5" w14:textId="77777777" w:rsidR="00274940" w:rsidRDefault="00274940" w:rsidP="00274940">
            <w:pPr>
              <w:pStyle w:val="TableText"/>
            </w:pPr>
          </w:p>
        </w:tc>
        <w:tc>
          <w:tcPr>
            <w:tcW w:w="624" w:type="dxa"/>
          </w:tcPr>
          <w:p w14:paraId="0F122358" w14:textId="77777777" w:rsidR="00274940" w:rsidRDefault="00274940" w:rsidP="00274940">
            <w:pPr>
              <w:pStyle w:val="TableText"/>
            </w:pPr>
          </w:p>
        </w:tc>
        <w:tc>
          <w:tcPr>
            <w:tcW w:w="624" w:type="dxa"/>
          </w:tcPr>
          <w:p w14:paraId="45E28F94" w14:textId="77777777" w:rsidR="00274940" w:rsidRDefault="00274940" w:rsidP="00274940">
            <w:pPr>
              <w:pStyle w:val="TableText"/>
            </w:pPr>
          </w:p>
        </w:tc>
        <w:tc>
          <w:tcPr>
            <w:tcW w:w="4649" w:type="dxa"/>
            <w:gridSpan w:val="2"/>
          </w:tcPr>
          <w:p w14:paraId="1FAB0BD7" w14:textId="524B55E2" w:rsidR="00274940" w:rsidRPr="004539CD" w:rsidRDefault="00274940" w:rsidP="00274940">
            <w:pPr>
              <w:pStyle w:val="TableBlock"/>
              <w:rPr>
                <w:sz w:val="26"/>
                <w:rtl/>
              </w:rPr>
            </w:pPr>
            <w:r w:rsidRPr="004539CD">
              <w:rPr>
                <w:rFonts w:hint="cs"/>
                <w:sz w:val="26"/>
                <w:rtl/>
              </w:rPr>
              <w:t>(</w:t>
            </w:r>
            <w:r>
              <w:rPr>
                <w:rFonts w:hint="cs"/>
                <w:sz w:val="26"/>
                <w:rtl/>
              </w:rPr>
              <w:t>ו</w:t>
            </w:r>
            <w:r w:rsidRPr="004539CD">
              <w:rPr>
                <w:rFonts w:hint="cs"/>
                <w:sz w:val="26"/>
                <w:rtl/>
              </w:rPr>
              <w:t>)</w:t>
            </w:r>
            <w:r w:rsidRPr="004539CD">
              <w:rPr>
                <w:sz w:val="26"/>
                <w:rtl/>
              </w:rPr>
              <w:tab/>
              <w:t>על ההצבעה לפי סעיף זה</w:t>
            </w:r>
            <w:r w:rsidRPr="004539CD">
              <w:rPr>
                <w:rFonts w:hint="cs"/>
                <w:sz w:val="26"/>
                <w:rtl/>
              </w:rPr>
              <w:t xml:space="preserve"> </w:t>
            </w:r>
            <w:r w:rsidRPr="004539CD">
              <w:rPr>
                <w:sz w:val="26"/>
                <w:rtl/>
              </w:rPr>
              <w:t>יחולו הוראות פרק זה בשינויים</w:t>
            </w:r>
            <w:r w:rsidRPr="004539CD">
              <w:rPr>
                <w:rFonts w:hint="cs"/>
                <w:sz w:val="26"/>
                <w:rtl/>
              </w:rPr>
              <w:t xml:space="preserve"> </w:t>
            </w:r>
            <w:r w:rsidRPr="004539CD">
              <w:rPr>
                <w:sz w:val="26"/>
                <w:rtl/>
              </w:rPr>
              <w:t>המחויבים, וכן בשינויים אחרים</w:t>
            </w:r>
            <w:r w:rsidRPr="004539CD">
              <w:rPr>
                <w:rFonts w:hint="cs"/>
                <w:sz w:val="26"/>
                <w:rtl/>
              </w:rPr>
              <w:t xml:space="preserve"> </w:t>
            </w:r>
            <w:r w:rsidRPr="004539CD">
              <w:rPr>
                <w:sz w:val="26"/>
                <w:rtl/>
              </w:rPr>
              <w:t>ככל שיידרשו, והם ייקבעו בידי</w:t>
            </w:r>
            <w:r w:rsidRPr="004539CD">
              <w:rPr>
                <w:rFonts w:hint="cs"/>
                <w:sz w:val="26"/>
                <w:rtl/>
              </w:rPr>
              <w:t xml:space="preserve"> </w:t>
            </w:r>
            <w:r w:rsidRPr="004539CD">
              <w:rPr>
                <w:sz w:val="26"/>
                <w:rtl/>
              </w:rPr>
              <w:t>יושב ראש הוועדה המרכזית</w:t>
            </w:r>
            <w:r w:rsidRPr="004539CD">
              <w:rPr>
                <w:sz w:val="26"/>
              </w:rPr>
              <w:t>,</w:t>
            </w:r>
            <w:r w:rsidRPr="004539CD">
              <w:rPr>
                <w:rFonts w:hint="cs"/>
                <w:sz w:val="26"/>
                <w:rtl/>
              </w:rPr>
              <w:t xml:space="preserve"> </w:t>
            </w:r>
            <w:r w:rsidRPr="004539CD">
              <w:rPr>
                <w:sz w:val="26"/>
                <w:rtl/>
              </w:rPr>
              <w:t>בהתייעצות עם שר הפנים ועם</w:t>
            </w:r>
            <w:r w:rsidRPr="004539CD">
              <w:rPr>
                <w:rFonts w:hint="cs"/>
                <w:sz w:val="26"/>
                <w:rtl/>
              </w:rPr>
              <w:t xml:space="preserve"> </w:t>
            </w:r>
            <w:r w:rsidRPr="004539CD">
              <w:rPr>
                <w:sz w:val="26"/>
                <w:rtl/>
              </w:rPr>
              <w:t>שר החוץ</w:t>
            </w:r>
            <w:r w:rsidRPr="004539CD">
              <w:rPr>
                <w:sz w:val="26"/>
              </w:rPr>
              <w:t>.</w:t>
            </w:r>
          </w:p>
        </w:tc>
      </w:tr>
      <w:tr w:rsidR="00274940" w14:paraId="261C14C9" w14:textId="77777777" w:rsidTr="00274940">
        <w:trPr>
          <w:cantSplit/>
          <w:trHeight w:val="60"/>
        </w:trPr>
        <w:tc>
          <w:tcPr>
            <w:tcW w:w="1869" w:type="dxa"/>
          </w:tcPr>
          <w:p w14:paraId="0AC081A5" w14:textId="77777777" w:rsidR="00274940" w:rsidRDefault="00274940" w:rsidP="00274940">
            <w:pPr>
              <w:pStyle w:val="TableSideHeading"/>
            </w:pPr>
          </w:p>
        </w:tc>
        <w:tc>
          <w:tcPr>
            <w:tcW w:w="624" w:type="dxa"/>
          </w:tcPr>
          <w:p w14:paraId="163A522D" w14:textId="77777777" w:rsidR="00274940" w:rsidRDefault="00274940" w:rsidP="00274940">
            <w:pPr>
              <w:pStyle w:val="TableText"/>
            </w:pPr>
          </w:p>
        </w:tc>
        <w:tc>
          <w:tcPr>
            <w:tcW w:w="624" w:type="dxa"/>
          </w:tcPr>
          <w:p w14:paraId="566F3F28" w14:textId="77777777" w:rsidR="00274940" w:rsidRDefault="00274940" w:rsidP="00274940">
            <w:pPr>
              <w:pStyle w:val="TableText"/>
            </w:pPr>
          </w:p>
        </w:tc>
        <w:tc>
          <w:tcPr>
            <w:tcW w:w="624" w:type="dxa"/>
          </w:tcPr>
          <w:p w14:paraId="04D6C993" w14:textId="77777777" w:rsidR="00274940" w:rsidRDefault="00274940" w:rsidP="00274940">
            <w:pPr>
              <w:pStyle w:val="TableText"/>
            </w:pPr>
          </w:p>
        </w:tc>
        <w:tc>
          <w:tcPr>
            <w:tcW w:w="624" w:type="dxa"/>
          </w:tcPr>
          <w:p w14:paraId="3EFFB4B7" w14:textId="77777777" w:rsidR="00274940" w:rsidRDefault="00274940" w:rsidP="00274940">
            <w:pPr>
              <w:pStyle w:val="TableText"/>
            </w:pPr>
          </w:p>
        </w:tc>
        <w:tc>
          <w:tcPr>
            <w:tcW w:w="624" w:type="dxa"/>
          </w:tcPr>
          <w:p w14:paraId="72C49FAD" w14:textId="77777777" w:rsidR="00274940" w:rsidRDefault="00274940" w:rsidP="00274940">
            <w:pPr>
              <w:pStyle w:val="TableText"/>
            </w:pPr>
          </w:p>
        </w:tc>
        <w:tc>
          <w:tcPr>
            <w:tcW w:w="4649" w:type="dxa"/>
            <w:gridSpan w:val="2"/>
          </w:tcPr>
          <w:p w14:paraId="7C2EAFD2" w14:textId="12119204" w:rsidR="00274940" w:rsidRPr="004539CD" w:rsidRDefault="00274940" w:rsidP="00274940">
            <w:pPr>
              <w:pStyle w:val="TableBlock"/>
              <w:rPr>
                <w:sz w:val="26"/>
                <w:rtl/>
              </w:rPr>
            </w:pPr>
            <w:r w:rsidRPr="004539CD">
              <w:rPr>
                <w:rFonts w:hint="cs"/>
                <w:sz w:val="26"/>
                <w:rtl/>
              </w:rPr>
              <w:t>(</w:t>
            </w:r>
            <w:r>
              <w:rPr>
                <w:rFonts w:hint="cs"/>
                <w:sz w:val="26"/>
                <w:rtl/>
              </w:rPr>
              <w:t>ז</w:t>
            </w:r>
            <w:r w:rsidRPr="004539CD">
              <w:rPr>
                <w:rFonts w:hint="cs"/>
                <w:sz w:val="26"/>
                <w:rtl/>
              </w:rPr>
              <w:t>)</w:t>
            </w:r>
            <w:r w:rsidRPr="004539CD">
              <w:rPr>
                <w:sz w:val="26"/>
                <w:rtl/>
              </w:rPr>
              <w:tab/>
              <w:t>שר הפנים ושר החוץ יתקינו</w:t>
            </w:r>
            <w:r w:rsidRPr="004539CD">
              <w:rPr>
                <w:rFonts w:hint="cs"/>
                <w:sz w:val="26"/>
                <w:rtl/>
              </w:rPr>
              <w:t xml:space="preserve"> </w:t>
            </w:r>
            <w:r w:rsidRPr="004539CD">
              <w:rPr>
                <w:sz w:val="26"/>
                <w:rtl/>
              </w:rPr>
              <w:t>תקנות לביצוע סעיף זה, וכן</w:t>
            </w:r>
            <w:r w:rsidRPr="004539CD">
              <w:rPr>
                <w:rFonts w:hint="cs"/>
                <w:sz w:val="26"/>
                <w:rtl/>
              </w:rPr>
              <w:t xml:space="preserve"> </w:t>
            </w:r>
            <w:r w:rsidRPr="004539CD">
              <w:rPr>
                <w:sz w:val="26"/>
                <w:rtl/>
              </w:rPr>
              <w:t>יפרסמו לציבור מעת לעת</w:t>
            </w:r>
            <w:r w:rsidRPr="004539CD">
              <w:rPr>
                <w:sz w:val="26"/>
              </w:rPr>
              <w:t>,</w:t>
            </w:r>
            <w:r w:rsidRPr="004539CD">
              <w:rPr>
                <w:rFonts w:hint="cs"/>
                <w:sz w:val="26"/>
                <w:rtl/>
              </w:rPr>
              <w:t xml:space="preserve"> </w:t>
            </w:r>
            <w:r w:rsidRPr="004539CD">
              <w:rPr>
                <w:sz w:val="26"/>
                <w:rtl/>
              </w:rPr>
              <w:t>ולפחות אחת לשנה, את הוראות</w:t>
            </w:r>
            <w:r w:rsidRPr="004539CD">
              <w:rPr>
                <w:rFonts w:hint="cs"/>
                <w:sz w:val="26"/>
                <w:rtl/>
              </w:rPr>
              <w:t xml:space="preserve"> </w:t>
            </w:r>
            <w:r w:rsidRPr="004539CD">
              <w:rPr>
                <w:sz w:val="26"/>
                <w:rtl/>
              </w:rPr>
              <w:t>סעיף זה</w:t>
            </w:r>
            <w:r w:rsidRPr="004539CD">
              <w:rPr>
                <w:rFonts w:hint="cs"/>
                <w:sz w:val="26"/>
                <w:rtl/>
              </w:rPr>
              <w:t>.</w:t>
            </w:r>
            <w:r>
              <w:rPr>
                <w:rFonts w:hint="cs"/>
                <w:sz w:val="26"/>
                <w:rtl/>
              </w:rPr>
              <w:t>"</w:t>
            </w:r>
          </w:p>
        </w:tc>
      </w:tr>
    </w:tbl>
    <w:p w14:paraId="7F6961CA" w14:textId="77777777" w:rsidR="002D1EE3" w:rsidRDefault="002D1EE3" w:rsidP="004539CD">
      <w:pPr>
        <w:pStyle w:val="HeadDivreiHesber"/>
        <w:rPr>
          <w:rtl/>
        </w:rPr>
      </w:pPr>
      <w:r w:rsidRPr="004539CD">
        <w:rPr>
          <w:rFonts w:hint="cs"/>
          <w:rtl/>
        </w:rPr>
        <w:t>דברי</w:t>
      </w:r>
      <w:r w:rsidRPr="0027450A">
        <w:rPr>
          <w:rFonts w:hint="cs"/>
          <w:rtl/>
        </w:rPr>
        <w:t xml:space="preserve"> הסבר</w:t>
      </w:r>
    </w:p>
    <w:p w14:paraId="7056C467" w14:textId="224108B1" w:rsidR="005D663D" w:rsidRPr="004539CD" w:rsidRDefault="005D663D" w:rsidP="00374746">
      <w:pPr>
        <w:pStyle w:val="Hesber"/>
        <w:rPr>
          <w:rtl/>
        </w:rPr>
      </w:pPr>
      <w:r w:rsidRPr="004539CD">
        <w:rPr>
          <w:rtl/>
        </w:rPr>
        <w:t>בעוד הזכות החוקתית המעוגנת בחוק</w:t>
      </w:r>
      <w:r w:rsidR="00374746">
        <w:rPr>
          <w:rFonts w:hint="cs"/>
          <w:rtl/>
        </w:rPr>
        <w:t>-</w:t>
      </w:r>
      <w:r w:rsidRPr="004539CD">
        <w:rPr>
          <w:rtl/>
        </w:rPr>
        <w:t>יסוד</w:t>
      </w:r>
      <w:r w:rsidR="00374746">
        <w:rPr>
          <w:rFonts w:hint="cs"/>
          <w:rtl/>
        </w:rPr>
        <w:t>:</w:t>
      </w:r>
      <w:r w:rsidRPr="004539CD">
        <w:rPr>
          <w:rtl/>
        </w:rPr>
        <w:t xml:space="preserve"> הכנסת מעניקה באופן גורף לכל אזרח ישראלי</w:t>
      </w:r>
      <w:r w:rsidR="00BA4BA1">
        <w:rPr>
          <w:rFonts w:hint="cs"/>
          <w:rtl/>
        </w:rPr>
        <w:t xml:space="preserve"> בן שמונה עשרה שנה ומעלה</w:t>
      </w:r>
      <w:r w:rsidRPr="004539CD">
        <w:rPr>
          <w:rtl/>
        </w:rPr>
        <w:t xml:space="preserve"> זכות לבחור בבחירות </w:t>
      </w:r>
      <w:r w:rsidR="00374746">
        <w:rPr>
          <w:rFonts w:hint="cs"/>
          <w:rtl/>
        </w:rPr>
        <w:t>ל</w:t>
      </w:r>
      <w:r w:rsidR="00374746" w:rsidRPr="004539CD">
        <w:rPr>
          <w:rtl/>
        </w:rPr>
        <w:t>כנסת</w:t>
      </w:r>
      <w:r w:rsidRPr="004539CD">
        <w:rPr>
          <w:rtl/>
        </w:rPr>
        <w:t>, חוק הבחירות לכנסת</w:t>
      </w:r>
      <w:r w:rsidR="00374746">
        <w:rPr>
          <w:rFonts w:hint="cs"/>
          <w:rtl/>
        </w:rPr>
        <w:t xml:space="preserve"> [נוסח משולב], </w:t>
      </w:r>
      <w:proofErr w:type="spellStart"/>
      <w:r w:rsidR="00374746">
        <w:rPr>
          <w:rFonts w:hint="cs"/>
          <w:rtl/>
        </w:rPr>
        <w:t>התשכ"ט</w:t>
      </w:r>
      <w:proofErr w:type="spellEnd"/>
      <w:r w:rsidR="00374746">
        <w:rPr>
          <w:rtl/>
        </w:rPr>
        <w:t>–</w:t>
      </w:r>
      <w:r w:rsidR="00374746">
        <w:rPr>
          <w:rFonts w:hint="cs"/>
          <w:rtl/>
        </w:rPr>
        <w:t xml:space="preserve">1969 (להלן </w:t>
      </w:r>
      <w:r w:rsidR="00374746">
        <w:rPr>
          <w:rtl/>
        </w:rPr>
        <w:t>–</w:t>
      </w:r>
      <w:r w:rsidR="00374746">
        <w:rPr>
          <w:rFonts w:hint="cs"/>
          <w:rtl/>
        </w:rPr>
        <w:t xml:space="preserve"> "חוק הבחירות</w:t>
      </w:r>
      <w:r w:rsidR="00BA4BA1">
        <w:rPr>
          <w:rFonts w:hint="cs"/>
          <w:rtl/>
        </w:rPr>
        <w:t>"</w:t>
      </w:r>
      <w:r w:rsidR="00374746">
        <w:rPr>
          <w:rFonts w:hint="cs"/>
          <w:rtl/>
        </w:rPr>
        <w:t>)</w:t>
      </w:r>
      <w:r w:rsidR="00BA4BA1">
        <w:rPr>
          <w:rFonts w:hint="cs"/>
          <w:rtl/>
        </w:rPr>
        <w:t>,</w:t>
      </w:r>
      <w:r w:rsidRPr="004539CD">
        <w:rPr>
          <w:rtl/>
        </w:rPr>
        <w:t xml:space="preserve"> מצמצם הלכה למעשה זכות חוקתית זו ומאפשר לאזרח ישראל</w:t>
      </w:r>
      <w:r w:rsidR="00374746">
        <w:rPr>
          <w:rFonts w:hint="cs"/>
          <w:rtl/>
        </w:rPr>
        <w:t>י</w:t>
      </w:r>
      <w:r w:rsidRPr="004539CD">
        <w:rPr>
          <w:rtl/>
        </w:rPr>
        <w:t xml:space="preserve"> לממש את זכותו כאמור רק בישראל ובתנאי ששמו נכלל בפנקס הבוחרים, </w:t>
      </w:r>
      <w:proofErr w:type="spellStart"/>
      <w:r w:rsidRPr="004539CD">
        <w:rPr>
          <w:rtl/>
        </w:rPr>
        <w:t>ומכללא</w:t>
      </w:r>
      <w:proofErr w:type="spellEnd"/>
      <w:r w:rsidRPr="004539CD">
        <w:rPr>
          <w:rtl/>
        </w:rPr>
        <w:t xml:space="preserve"> כתובת מגוריו בישראל.</w:t>
      </w:r>
    </w:p>
    <w:p w14:paraId="70F86C00" w14:textId="59A94921" w:rsidR="00BA4BA1" w:rsidRDefault="005D663D" w:rsidP="00374746">
      <w:pPr>
        <w:pStyle w:val="Hesber"/>
        <w:rPr>
          <w:rtl/>
        </w:rPr>
      </w:pPr>
      <w:r w:rsidRPr="004539CD">
        <w:rPr>
          <w:rtl/>
        </w:rPr>
        <w:t xml:space="preserve">על-פי נתוני הלשכה המרכזית לסטטיסטיקה ישנם למעלה מ-550 אלף אזרחים ישראלים השוהים </w:t>
      </w:r>
      <w:r w:rsidR="00374746">
        <w:rPr>
          <w:rFonts w:hint="cs"/>
          <w:rtl/>
        </w:rPr>
        <w:t>מחוץ לישראל</w:t>
      </w:r>
      <w:r w:rsidRPr="004539CD">
        <w:rPr>
          <w:rtl/>
        </w:rPr>
        <w:t xml:space="preserve"> למעלה משנה</w:t>
      </w:r>
      <w:r w:rsidR="00374746">
        <w:rPr>
          <w:rFonts w:hint="cs"/>
          <w:rtl/>
        </w:rPr>
        <w:t>,</w:t>
      </w:r>
      <w:r w:rsidRPr="004539CD">
        <w:rPr>
          <w:rtl/>
        </w:rPr>
        <w:t xml:space="preserve"> שהיו זכאים להשתתף בבחירות לכנסת ה-21. חלקם שוהים </w:t>
      </w:r>
      <w:r w:rsidR="00374746">
        <w:rPr>
          <w:rFonts w:hint="cs"/>
          <w:rtl/>
        </w:rPr>
        <w:t>מחוץ לישראל</w:t>
      </w:r>
      <w:r w:rsidR="00374746" w:rsidRPr="004539CD">
        <w:rPr>
          <w:rtl/>
        </w:rPr>
        <w:t xml:space="preserve"> </w:t>
      </w:r>
      <w:r w:rsidR="00374746">
        <w:rPr>
          <w:rFonts w:hint="cs"/>
          <w:rtl/>
        </w:rPr>
        <w:lastRenderedPageBreak/>
        <w:t xml:space="preserve">תקופה של </w:t>
      </w:r>
      <w:r w:rsidRPr="004539CD">
        <w:rPr>
          <w:rtl/>
        </w:rPr>
        <w:t xml:space="preserve">עד ארבע שנים בשל עיסוקם או בשל לימודים. רובם המוחלט לא </w:t>
      </w:r>
      <w:r w:rsidR="00374746">
        <w:rPr>
          <w:rFonts w:hint="cs"/>
          <w:rtl/>
        </w:rPr>
        <w:t>נמצאו</w:t>
      </w:r>
      <w:r w:rsidR="00374746" w:rsidRPr="004539CD">
        <w:rPr>
          <w:rtl/>
        </w:rPr>
        <w:t xml:space="preserve"> </w:t>
      </w:r>
      <w:r w:rsidRPr="004539CD">
        <w:rPr>
          <w:rtl/>
        </w:rPr>
        <w:t xml:space="preserve">בישראל ביום הבחירות ובשל כך נמנעה מהם האפשרות לממש את זכותם החוקתית להצביע. אליהם יש להוסיף מספר לא ידוע של ישראלים השוהים </w:t>
      </w:r>
      <w:r w:rsidR="00374746">
        <w:rPr>
          <w:rFonts w:hint="cs"/>
          <w:rtl/>
        </w:rPr>
        <w:t>מחוץ לישראל</w:t>
      </w:r>
      <w:r w:rsidR="00374746" w:rsidRPr="004539CD">
        <w:rPr>
          <w:rtl/>
        </w:rPr>
        <w:t xml:space="preserve"> </w:t>
      </w:r>
      <w:r w:rsidRPr="004539CD">
        <w:rPr>
          <w:rtl/>
        </w:rPr>
        <w:t xml:space="preserve">תקופה קצרה יותר וגם מהם נמנעה האפשרות לממש זכותם כאמור. </w:t>
      </w:r>
    </w:p>
    <w:p w14:paraId="05F98419" w14:textId="713AB125" w:rsidR="00374746" w:rsidRDefault="005D663D" w:rsidP="00BA4BA1">
      <w:pPr>
        <w:pStyle w:val="Hesber"/>
        <w:rPr>
          <w:rtl/>
        </w:rPr>
      </w:pPr>
      <w:r w:rsidRPr="004539CD">
        <w:rPr>
          <w:rtl/>
        </w:rPr>
        <w:t>החוק הקיים, שאינו תואם לשינויים שחלו בשנים האחרונות בישראל ובעולם</w:t>
      </w:r>
      <w:r w:rsidR="00BA4BA1">
        <w:rPr>
          <w:rFonts w:hint="cs"/>
          <w:rtl/>
        </w:rPr>
        <w:t>,</w:t>
      </w:r>
      <w:r w:rsidRPr="004539CD">
        <w:rPr>
          <w:rtl/>
        </w:rPr>
        <w:t xml:space="preserve"> מאפשר זכות הצבעה </w:t>
      </w:r>
      <w:r w:rsidR="00374746">
        <w:rPr>
          <w:rFonts w:hint="cs"/>
          <w:rtl/>
        </w:rPr>
        <w:t>מחוץ לישראל</w:t>
      </w:r>
      <w:r w:rsidRPr="004539CD">
        <w:rPr>
          <w:rtl/>
        </w:rPr>
        <w:t xml:space="preserve"> רק לימאים בהפלגה וכן לנציגים רשמיים של ישראל</w:t>
      </w:r>
      <w:r w:rsidR="00374746">
        <w:rPr>
          <w:rFonts w:hint="cs"/>
          <w:rtl/>
        </w:rPr>
        <w:t xml:space="preserve"> </w:t>
      </w:r>
      <w:r w:rsidR="00374746" w:rsidRPr="00374746">
        <w:rPr>
          <w:rFonts w:hint="cs"/>
          <w:rtl/>
        </w:rPr>
        <w:t>הנמצאים מחוץ לישראל עקב עבודתם</w:t>
      </w:r>
      <w:r w:rsidRPr="004539CD">
        <w:rPr>
          <w:rtl/>
        </w:rPr>
        <w:t xml:space="preserve">, </w:t>
      </w:r>
      <w:r w:rsidR="00374746">
        <w:rPr>
          <w:rFonts w:hint="cs"/>
          <w:rtl/>
        </w:rPr>
        <w:t xml:space="preserve">שרשאים להצביע </w:t>
      </w:r>
      <w:r w:rsidRPr="004539CD">
        <w:rPr>
          <w:rtl/>
        </w:rPr>
        <w:t xml:space="preserve">בנציגויות דיפלומטיות וקונסולריות. </w:t>
      </w:r>
    </w:p>
    <w:p w14:paraId="4BB9A472" w14:textId="1A1EF660" w:rsidR="005D663D" w:rsidRPr="004539CD" w:rsidRDefault="005D663D" w:rsidP="00374746">
      <w:pPr>
        <w:pStyle w:val="Hesber"/>
        <w:rPr>
          <w:rtl/>
        </w:rPr>
      </w:pPr>
      <w:r w:rsidRPr="004539CD">
        <w:rPr>
          <w:rtl/>
        </w:rPr>
        <w:t xml:space="preserve">יתר אזרחי ישראל הרואים בישראל את מרכז חייהם ושוהים </w:t>
      </w:r>
      <w:r w:rsidR="00374746">
        <w:rPr>
          <w:rFonts w:hint="cs"/>
          <w:rtl/>
        </w:rPr>
        <w:t>מחוץ לישראל</w:t>
      </w:r>
      <w:r w:rsidR="00374746" w:rsidRPr="004539CD">
        <w:rPr>
          <w:rtl/>
        </w:rPr>
        <w:t xml:space="preserve"> </w:t>
      </w:r>
      <w:r w:rsidRPr="004539CD">
        <w:rPr>
          <w:rtl/>
        </w:rPr>
        <w:t xml:space="preserve">באופן זמני מנועים מלהשתתף בבחירות, אלא אם כן יגיעו במיוחד לישראל לצורך מימוש זכותם להצביע. מציאות זו יוצרת אפליה ועיוות כלפי אותם אזרחים אשר אינם יכולים לממן את עלויות הטיסה לפני יום הבחירות ובכך למעשה נמנעת מהם זכות הבחירה. מציאות זו אף יוצרת תמריץ ל"קבלני קולות" לסבסד עלויות טיסה למצביעים פוטנציאלים. המצב הנוכחי בו נמנעת מאזרחים השוהים </w:t>
      </w:r>
      <w:r w:rsidR="00374746">
        <w:rPr>
          <w:rFonts w:hint="cs"/>
          <w:rtl/>
        </w:rPr>
        <w:t>מחוץ לישראל</w:t>
      </w:r>
      <w:r w:rsidR="00374746" w:rsidRPr="004539CD">
        <w:rPr>
          <w:rtl/>
        </w:rPr>
        <w:t xml:space="preserve"> </w:t>
      </w:r>
      <w:r w:rsidRPr="004539CD">
        <w:rPr>
          <w:rtl/>
        </w:rPr>
        <w:t>באופן זמני האפשרות להצביע, פוגע באלה מהם אשר מרכז חייהם בישראל והם רואים את עתידם בישראל ובאלה שההשתתפות במוסדות הפוליטיים הישראלים מהווה עבורם מקור לשייכות והגדרה זהותית.</w:t>
      </w:r>
    </w:p>
    <w:p w14:paraId="2982EBB8" w14:textId="14314E52" w:rsidR="005D663D" w:rsidRPr="004539CD" w:rsidRDefault="005D663D" w:rsidP="0002103D">
      <w:pPr>
        <w:pStyle w:val="Hesber"/>
        <w:rPr>
          <w:rtl/>
        </w:rPr>
      </w:pPr>
      <w:r w:rsidRPr="004539CD">
        <w:rPr>
          <w:rtl/>
        </w:rPr>
        <w:t xml:space="preserve">בעידן הגלובליזציה, אזרחים רבים שוהים </w:t>
      </w:r>
      <w:r w:rsidR="0002103D">
        <w:rPr>
          <w:rFonts w:hint="cs"/>
          <w:rtl/>
        </w:rPr>
        <w:t>מחוץ לישראל</w:t>
      </w:r>
      <w:r w:rsidRPr="004539CD">
        <w:rPr>
          <w:rtl/>
        </w:rPr>
        <w:t xml:space="preserve"> לרגל עיסוקיהם או לרגל לימודים ביום הבחירות. למעלה</w:t>
      </w:r>
      <w:r w:rsidRPr="004539CD">
        <w:rPr>
          <w:rFonts w:hint="cs"/>
          <w:rtl/>
        </w:rPr>
        <w:t xml:space="preserve"> </w:t>
      </w:r>
      <w:r w:rsidRPr="004539CD">
        <w:rPr>
          <w:rtl/>
        </w:rPr>
        <w:t xml:space="preserve">ממאה מדינות מאפשרות לאזרחיהן להשתתף בבחירות באמצעות הנציגויות </w:t>
      </w:r>
      <w:r w:rsidR="0002103D">
        <w:rPr>
          <w:rFonts w:hint="cs"/>
          <w:rtl/>
        </w:rPr>
        <w:t>שבארצות אחרות</w:t>
      </w:r>
      <w:r w:rsidRPr="004539CD">
        <w:rPr>
          <w:rtl/>
        </w:rPr>
        <w:t>, זהו נוהג שקיים במרבית</w:t>
      </w:r>
      <w:r w:rsidRPr="004539CD">
        <w:rPr>
          <w:rFonts w:hint="cs"/>
          <w:rtl/>
        </w:rPr>
        <w:t xml:space="preserve"> </w:t>
      </w:r>
      <w:r w:rsidRPr="004539CD">
        <w:rPr>
          <w:rtl/>
        </w:rPr>
        <w:t>המדינות הדמוקרטיות בעולם, כגון: בריטניה, ארה"ב, קנדה</w:t>
      </w:r>
      <w:r w:rsidR="0002103D">
        <w:rPr>
          <w:rFonts w:hint="cs"/>
          <w:rtl/>
        </w:rPr>
        <w:t>,</w:t>
      </w:r>
      <w:r w:rsidRPr="004539CD">
        <w:rPr>
          <w:rtl/>
        </w:rPr>
        <w:t xml:space="preserve"> גרמניה, ספרד, דנמרק, הולנד, נורבגיה, שוויץ, אוסטרליה וניו-זילנד.</w:t>
      </w:r>
    </w:p>
    <w:p w14:paraId="1E99BDF9" w14:textId="77777777" w:rsidR="005D663D" w:rsidRPr="004539CD" w:rsidRDefault="005D663D" w:rsidP="004539CD">
      <w:pPr>
        <w:pStyle w:val="Hesber"/>
        <w:rPr>
          <w:rtl/>
        </w:rPr>
      </w:pPr>
      <w:r w:rsidRPr="004539CD">
        <w:rPr>
          <w:rtl/>
        </w:rPr>
        <w:t xml:space="preserve">ישראל המבססת את </w:t>
      </w:r>
      <w:proofErr w:type="spellStart"/>
      <w:r w:rsidRPr="004539CD">
        <w:rPr>
          <w:rtl/>
        </w:rPr>
        <w:t>כלכלתה</w:t>
      </w:r>
      <w:proofErr w:type="spellEnd"/>
      <w:r w:rsidRPr="004539CD">
        <w:rPr>
          <w:rtl/>
        </w:rPr>
        <w:t xml:space="preserve"> הלאומית על חברות טכנולוגיה ומתגאה להגדיר עצמה "אומת חברות </w:t>
      </w:r>
      <w:proofErr w:type="spellStart"/>
      <w:r w:rsidRPr="004539CD">
        <w:rPr>
          <w:rtl/>
        </w:rPr>
        <w:t>ההזנק</w:t>
      </w:r>
      <w:proofErr w:type="spellEnd"/>
      <w:r w:rsidRPr="004539CD">
        <w:rPr>
          <w:rtl/>
        </w:rPr>
        <w:t>" טרם עדכנה את הסדרים הנדרשים בחוק הבחירות כדי שאלה יתאימו למציאות בה עשרות אלפי ישראלים לומדים, עובדים וחיים פרקי זמן מוגבלים מחוץ לישראל כחלק ממאפייני התעסוקה בתעשיית הטכנולוגיה העילית.</w:t>
      </w:r>
    </w:p>
    <w:p w14:paraId="0B19C1EB" w14:textId="1BDCEB30" w:rsidR="005D663D" w:rsidRPr="004539CD" w:rsidRDefault="005D663D" w:rsidP="0002103D">
      <w:pPr>
        <w:pStyle w:val="Hesber"/>
        <w:rPr>
          <w:rtl/>
        </w:rPr>
      </w:pPr>
      <w:r w:rsidRPr="004539CD">
        <w:rPr>
          <w:rtl/>
        </w:rPr>
        <w:t xml:space="preserve">העובדה שישראלים במספרים גדלים והולכים נמצאים </w:t>
      </w:r>
      <w:r w:rsidR="0002103D">
        <w:rPr>
          <w:rFonts w:hint="cs"/>
          <w:rtl/>
        </w:rPr>
        <w:t>מחוץ לישראל</w:t>
      </w:r>
      <w:r w:rsidRPr="004539CD">
        <w:rPr>
          <w:rtl/>
        </w:rPr>
        <w:t xml:space="preserve"> ביום הבחירות יוצרת מצב מלאכותי של ירידה מתמידה בשעורי ההצבעה, ופוגעת גם בבסיס האמון בשיטה הדמוקרטית הישראלית בקרב ישראלים רבים, שכן הסדרי הבחירות הקיימים בהקשר זה הינם הסדרים אנכרוניסטיים שאינם מתאימים </w:t>
      </w:r>
      <w:proofErr w:type="spellStart"/>
      <w:r w:rsidRPr="004539CD">
        <w:rPr>
          <w:rtl/>
        </w:rPr>
        <w:t>לקידמה</w:t>
      </w:r>
      <w:proofErr w:type="spellEnd"/>
      <w:r w:rsidRPr="004539CD">
        <w:rPr>
          <w:rtl/>
        </w:rPr>
        <w:t xml:space="preserve"> ולשינויים שחלו בשנים האחרונות בשוק העבודה והלימודים הישראלי, ואינם הולמים מדינות דמוקרטיות מתוקנות.</w:t>
      </w:r>
    </w:p>
    <w:p w14:paraId="4FFE98E9" w14:textId="1F1B8910" w:rsidR="005D663D" w:rsidRPr="004539CD" w:rsidRDefault="005D663D" w:rsidP="0002103D">
      <w:pPr>
        <w:pStyle w:val="Hesber"/>
        <w:rPr>
          <w:rtl/>
        </w:rPr>
      </w:pPr>
      <w:r w:rsidRPr="004539CD">
        <w:rPr>
          <w:rtl/>
        </w:rPr>
        <w:t xml:space="preserve">הצעת החוק קובעת אמות מידה ברורות לזכאות להצבעה מחוץ </w:t>
      </w:r>
      <w:r w:rsidR="0002103D">
        <w:rPr>
          <w:rFonts w:hint="cs"/>
          <w:rtl/>
        </w:rPr>
        <w:t>לישראל</w:t>
      </w:r>
      <w:r w:rsidRPr="004539CD">
        <w:rPr>
          <w:rtl/>
        </w:rPr>
        <w:t xml:space="preserve">, מתוך התחשבות בהשלכות הלוגיסטיות, התקציביות והחוקתיות של צעד זה. הצעת החוק מאפשרת רק לישראלים השוהים זמנית </w:t>
      </w:r>
      <w:r w:rsidR="0002103D">
        <w:rPr>
          <w:rFonts w:hint="cs"/>
          <w:rtl/>
        </w:rPr>
        <w:t>מחוץ לישראל</w:t>
      </w:r>
      <w:r w:rsidRPr="004539CD">
        <w:rPr>
          <w:rtl/>
        </w:rPr>
        <w:t xml:space="preserve"> ושהשתתפו</w:t>
      </w:r>
      <w:r w:rsidRPr="004539CD">
        <w:rPr>
          <w:rFonts w:hint="cs"/>
          <w:rtl/>
        </w:rPr>
        <w:t xml:space="preserve"> </w:t>
      </w:r>
      <w:r w:rsidR="0002103D">
        <w:rPr>
          <w:rFonts w:hint="cs"/>
          <w:rtl/>
        </w:rPr>
        <w:t>ב</w:t>
      </w:r>
      <w:r w:rsidRPr="004539CD">
        <w:rPr>
          <w:rtl/>
        </w:rPr>
        <w:t xml:space="preserve">בחירות </w:t>
      </w:r>
      <w:r w:rsidR="0002103D">
        <w:rPr>
          <w:rFonts w:hint="cs"/>
          <w:rtl/>
        </w:rPr>
        <w:t xml:space="preserve">הקודמות </w:t>
      </w:r>
      <w:r w:rsidRPr="004539CD">
        <w:rPr>
          <w:rtl/>
        </w:rPr>
        <w:t>בישראל, לממש את זכותם להצביע, גם במדינת חוץ.</w:t>
      </w:r>
    </w:p>
    <w:p w14:paraId="422D1602" w14:textId="27DC2E3A" w:rsidR="005D663D" w:rsidRPr="004539CD" w:rsidRDefault="005D663D" w:rsidP="0002103D">
      <w:pPr>
        <w:pStyle w:val="Hesber"/>
        <w:rPr>
          <w:rtl/>
        </w:rPr>
      </w:pPr>
      <w:r w:rsidRPr="004539CD">
        <w:rPr>
          <w:rtl/>
        </w:rPr>
        <w:t>הצעת החוק מעצבת הסדר מאוזן ומדוד בכך שמאפשרת לתקן עיוות כלפי אותם ישראלים השוהים שהות מוגבלת</w:t>
      </w:r>
      <w:r w:rsidRPr="004539CD">
        <w:rPr>
          <w:rFonts w:hint="cs"/>
          <w:rtl/>
        </w:rPr>
        <w:t xml:space="preserve"> </w:t>
      </w:r>
      <w:r w:rsidRPr="004539CD">
        <w:rPr>
          <w:rtl/>
        </w:rPr>
        <w:t>בחוץ לארץ בעיקר לרגל הצבה זמנית במקום עבודה או לרגל לימודים או טיפול רפואי.</w:t>
      </w:r>
    </w:p>
    <w:p w14:paraId="49FFE521" w14:textId="17F01BA9" w:rsidR="007A59DD" w:rsidRDefault="005D663D" w:rsidP="0002103D">
      <w:pPr>
        <w:pStyle w:val="Hesber"/>
        <w:rPr>
          <w:rtl/>
        </w:rPr>
      </w:pPr>
      <w:r w:rsidRPr="004539CD">
        <w:rPr>
          <w:rtl/>
        </w:rPr>
        <w:t>מוצע לקבוע כי יהיה זכאי להצביע במדינת חוץ רק אזרח ישראלי הרשום בפנקס הבוחרים ושהצביע במדינת ישראל</w:t>
      </w:r>
      <w:r w:rsidRPr="004539CD">
        <w:rPr>
          <w:rFonts w:hint="cs"/>
          <w:rtl/>
        </w:rPr>
        <w:t xml:space="preserve"> </w:t>
      </w:r>
      <w:r w:rsidRPr="004539CD">
        <w:rPr>
          <w:rtl/>
        </w:rPr>
        <w:t xml:space="preserve">בבחירות </w:t>
      </w:r>
      <w:r w:rsidR="0002103D">
        <w:rPr>
          <w:rFonts w:hint="cs"/>
          <w:rtl/>
        </w:rPr>
        <w:t>הקודמות</w:t>
      </w:r>
      <w:r w:rsidRPr="004539CD">
        <w:rPr>
          <w:rtl/>
        </w:rPr>
        <w:t>. זכות זו תחדש עצמה כל אימת שמצביע הנמצא במדינת חוץ ביום הבחירות ורשום בפנקס הבוחרים, הצביע בישראל בבחירות שקדמו לכך.</w:t>
      </w:r>
      <w:r w:rsidR="0002103D">
        <w:rPr>
          <w:rFonts w:hint="cs"/>
          <w:rtl/>
        </w:rPr>
        <w:t xml:space="preserve"> כחריג לכלל זה, מוצע </w:t>
      </w:r>
      <w:r w:rsidRPr="004539CD">
        <w:rPr>
          <w:rtl/>
        </w:rPr>
        <w:t xml:space="preserve">לאפשר הצבעה </w:t>
      </w:r>
      <w:r w:rsidR="0002103D">
        <w:rPr>
          <w:rFonts w:hint="cs"/>
          <w:rtl/>
        </w:rPr>
        <w:t>נוספת במדינת חוץ</w:t>
      </w:r>
      <w:r w:rsidRPr="004539CD">
        <w:rPr>
          <w:rtl/>
        </w:rPr>
        <w:t xml:space="preserve">, </w:t>
      </w:r>
      <w:r w:rsidR="0002103D">
        <w:rPr>
          <w:rFonts w:hint="cs"/>
          <w:rtl/>
        </w:rPr>
        <w:t xml:space="preserve">שהיא </w:t>
      </w:r>
      <w:r w:rsidRPr="004539CD">
        <w:rPr>
          <w:rtl/>
        </w:rPr>
        <w:t xml:space="preserve">עוקבת להצבעה </w:t>
      </w:r>
      <w:r w:rsidR="0002103D">
        <w:rPr>
          <w:rFonts w:hint="cs"/>
          <w:rtl/>
        </w:rPr>
        <w:t xml:space="preserve">קודמת של אותו בוחר </w:t>
      </w:r>
      <w:r w:rsidRPr="004539CD">
        <w:rPr>
          <w:rtl/>
        </w:rPr>
        <w:t xml:space="preserve">במדינת חוץ, </w:t>
      </w:r>
      <w:r w:rsidR="0002103D">
        <w:rPr>
          <w:rFonts w:hint="cs"/>
          <w:rtl/>
        </w:rPr>
        <w:t xml:space="preserve">פעם אחת בלבד, </w:t>
      </w:r>
      <w:r w:rsidR="0002103D">
        <w:rPr>
          <w:rFonts w:hint="cs"/>
          <w:rtl/>
        </w:rPr>
        <w:lastRenderedPageBreak/>
        <w:t>בתנאי ש</w:t>
      </w:r>
      <w:r w:rsidRPr="004539CD">
        <w:rPr>
          <w:rtl/>
        </w:rPr>
        <w:t xml:space="preserve">יום הבחירות העוקב מתקיים עד שנתיים מיום הבחירות שקדם לו. חריג זה מתחשב במציאות הישראלית </w:t>
      </w:r>
      <w:r w:rsidR="007A59DD">
        <w:rPr>
          <w:rFonts w:hint="cs"/>
          <w:rtl/>
        </w:rPr>
        <w:t xml:space="preserve">שבה </w:t>
      </w:r>
      <w:r w:rsidRPr="004539CD">
        <w:rPr>
          <w:rtl/>
        </w:rPr>
        <w:t xml:space="preserve">בחירות לכנסת מוקדמות לעיתים </w:t>
      </w:r>
      <w:r w:rsidR="007A59DD">
        <w:rPr>
          <w:rFonts w:hint="cs"/>
          <w:rtl/>
        </w:rPr>
        <w:t>תכ</w:t>
      </w:r>
      <w:r w:rsidRPr="004539CD">
        <w:rPr>
          <w:rtl/>
        </w:rPr>
        <w:t>ופות</w:t>
      </w:r>
      <w:r w:rsidR="007A59DD">
        <w:rPr>
          <w:rFonts w:hint="cs"/>
          <w:rtl/>
        </w:rPr>
        <w:t>,</w:t>
      </w:r>
      <w:r w:rsidRPr="004539CD">
        <w:rPr>
          <w:rtl/>
        </w:rPr>
        <w:t xml:space="preserve"> או לחילופין, במצב בו מערכת בחירות עוקבת מתקיימת מיד, עקב חוסר יכולת להרכיב ממשלה בהתאם לקבוע בחוק</w:t>
      </w:r>
      <w:r w:rsidR="007A59DD">
        <w:rPr>
          <w:rFonts w:hint="cs"/>
          <w:rtl/>
        </w:rPr>
        <w:t>-</w:t>
      </w:r>
      <w:r w:rsidRPr="004539CD">
        <w:rPr>
          <w:rtl/>
        </w:rPr>
        <w:t>יסוד</w:t>
      </w:r>
      <w:r w:rsidR="007A59DD">
        <w:rPr>
          <w:rFonts w:hint="cs"/>
          <w:rtl/>
        </w:rPr>
        <w:t>:</w:t>
      </w:r>
      <w:r w:rsidRPr="004539CD">
        <w:rPr>
          <w:rtl/>
        </w:rPr>
        <w:t xml:space="preserve"> הממשלה. </w:t>
      </w:r>
    </w:p>
    <w:p w14:paraId="051D2944" w14:textId="7161D99D" w:rsidR="004539CD" w:rsidRDefault="005D663D" w:rsidP="0002103D">
      <w:pPr>
        <w:pStyle w:val="Hesber"/>
        <w:rPr>
          <w:rtl/>
        </w:rPr>
      </w:pPr>
      <w:r w:rsidRPr="004539CD">
        <w:rPr>
          <w:rtl/>
        </w:rPr>
        <w:t>עוד מוצע להתנות את זכאות ההצבעה במדינת חוץ ברישום מוקדם ובהצהרת המבקש על כוונתו לשוב ולחיות בישראל. ההצבעה תיעשה על-ידי נוכחות פיזית של המצביע באחת הנציגות הישראליות.</w:t>
      </w:r>
    </w:p>
    <w:p w14:paraId="7F6961CB" w14:textId="4D29C6F2" w:rsidR="00E13C27" w:rsidRDefault="005D663D" w:rsidP="004539CD">
      <w:pPr>
        <w:pStyle w:val="Hesber"/>
        <w:rPr>
          <w:rtl/>
        </w:rPr>
      </w:pPr>
      <w:r w:rsidRPr="004539CD">
        <w:rPr>
          <w:rtl/>
        </w:rPr>
        <w:t>הצעת חוק דומה</w:t>
      </w:r>
      <w:r w:rsidR="004539CD">
        <w:rPr>
          <w:rFonts w:hint="cs"/>
          <w:rtl/>
        </w:rPr>
        <w:t xml:space="preserve"> בעיקרה</w:t>
      </w:r>
      <w:r w:rsidRPr="004539CD">
        <w:rPr>
          <w:rtl/>
        </w:rPr>
        <w:t xml:space="preserve"> הונחה על שולחן הכנסת העשרים על ידי חברי הכנסת נחמן שי ודוד ביטן</w:t>
      </w:r>
      <w:r w:rsidR="004539CD">
        <w:rPr>
          <w:rFonts w:hint="cs"/>
          <w:rtl/>
        </w:rPr>
        <w:t xml:space="preserve"> </w:t>
      </w:r>
      <w:r w:rsidRPr="004539CD">
        <w:rPr>
          <w:rFonts w:hint="cs"/>
          <w:rtl/>
        </w:rPr>
        <w:t>(</w:t>
      </w:r>
      <w:r w:rsidR="004539CD">
        <w:rPr>
          <w:rtl/>
        </w:rPr>
        <w:t>פ</w:t>
      </w:r>
      <w:r w:rsidR="004539CD">
        <w:rPr>
          <w:rFonts w:hint="cs"/>
          <w:rtl/>
        </w:rPr>
        <w:t>/</w:t>
      </w:r>
      <w:r w:rsidRPr="004539CD">
        <w:rPr>
          <w:rtl/>
        </w:rPr>
        <w:t>3374/20</w:t>
      </w:r>
      <w:r w:rsidRPr="004539CD">
        <w:rPr>
          <w:rFonts w:hint="cs"/>
          <w:rtl/>
        </w:rPr>
        <w:t>).</w:t>
      </w:r>
    </w:p>
    <w:p w14:paraId="471B652A" w14:textId="77777777" w:rsidR="00274940" w:rsidRDefault="00274940" w:rsidP="004539CD">
      <w:pPr>
        <w:pStyle w:val="Hesber"/>
        <w:rPr>
          <w:rtl/>
        </w:rPr>
      </w:pPr>
    </w:p>
    <w:p w14:paraId="40E172EB" w14:textId="77777777" w:rsidR="00274940" w:rsidRPr="00D73212" w:rsidRDefault="00274940" w:rsidP="00274940">
      <w:pPr>
        <w:pStyle w:val="Hesber"/>
        <w:rPr>
          <w:rtl/>
        </w:rPr>
      </w:pPr>
      <w:r w:rsidRPr="00D73212">
        <w:rPr>
          <w:rtl/>
        </w:rPr>
        <w:t>---------------------------------</w:t>
      </w:r>
    </w:p>
    <w:p w14:paraId="24028B9F" w14:textId="77777777" w:rsidR="00274940" w:rsidRPr="00D73212" w:rsidRDefault="00274940" w:rsidP="00274940">
      <w:pPr>
        <w:pStyle w:val="Hesber"/>
        <w:rPr>
          <w:rtl/>
        </w:rPr>
      </w:pPr>
      <w:r w:rsidRPr="00D73212">
        <w:rPr>
          <w:rFonts w:hint="cs"/>
          <w:rtl/>
        </w:rPr>
        <w:t>הוגשה</w:t>
      </w:r>
      <w:r w:rsidRPr="00D73212">
        <w:rPr>
          <w:rtl/>
        </w:rPr>
        <w:t xml:space="preserve"> </w:t>
      </w:r>
      <w:r w:rsidRPr="00D73212">
        <w:rPr>
          <w:rFonts w:hint="cs"/>
          <w:rtl/>
        </w:rPr>
        <w:t>ליו</w:t>
      </w:r>
      <w:r w:rsidRPr="00D73212">
        <w:rPr>
          <w:rtl/>
        </w:rPr>
        <w:t>"</w:t>
      </w:r>
      <w:r w:rsidRPr="00D73212">
        <w:rPr>
          <w:rFonts w:hint="cs"/>
          <w:rtl/>
        </w:rPr>
        <w:t>ר</w:t>
      </w:r>
      <w:r w:rsidRPr="00D73212">
        <w:rPr>
          <w:rtl/>
        </w:rPr>
        <w:t xml:space="preserve"> </w:t>
      </w:r>
      <w:r w:rsidRPr="00D73212">
        <w:rPr>
          <w:rFonts w:hint="cs"/>
          <w:rtl/>
        </w:rPr>
        <w:t>הכנסת</w:t>
      </w:r>
      <w:r w:rsidRPr="00D73212">
        <w:rPr>
          <w:rtl/>
        </w:rPr>
        <w:t xml:space="preserve"> </w:t>
      </w:r>
      <w:r w:rsidRPr="00D73212">
        <w:rPr>
          <w:rFonts w:hint="cs"/>
          <w:rtl/>
        </w:rPr>
        <w:t>והסגנים</w:t>
      </w:r>
    </w:p>
    <w:p w14:paraId="10B31BF8" w14:textId="77777777" w:rsidR="00274940" w:rsidRPr="00D73212" w:rsidRDefault="00274940" w:rsidP="00274940">
      <w:pPr>
        <w:pStyle w:val="Hesber"/>
        <w:rPr>
          <w:rtl/>
        </w:rPr>
      </w:pPr>
      <w:r w:rsidRPr="00D73212">
        <w:rPr>
          <w:rFonts w:hint="cs"/>
          <w:rtl/>
        </w:rPr>
        <w:t>והונחה</w:t>
      </w:r>
      <w:r w:rsidRPr="00D73212">
        <w:rPr>
          <w:rtl/>
        </w:rPr>
        <w:t xml:space="preserve"> </w:t>
      </w:r>
      <w:r w:rsidRPr="00D73212">
        <w:rPr>
          <w:rFonts w:hint="cs"/>
          <w:rtl/>
        </w:rPr>
        <w:t>על</w:t>
      </w:r>
      <w:r w:rsidRPr="00D73212">
        <w:rPr>
          <w:rtl/>
        </w:rPr>
        <w:t xml:space="preserve"> </w:t>
      </w:r>
      <w:r w:rsidRPr="00D73212">
        <w:rPr>
          <w:rFonts w:hint="cs"/>
          <w:rtl/>
        </w:rPr>
        <w:t>שולחן</w:t>
      </w:r>
      <w:r w:rsidRPr="00D73212">
        <w:rPr>
          <w:rtl/>
        </w:rPr>
        <w:t xml:space="preserve"> </w:t>
      </w:r>
      <w:r w:rsidRPr="00D73212">
        <w:rPr>
          <w:rFonts w:hint="cs"/>
          <w:rtl/>
        </w:rPr>
        <w:t>הכנסת</w:t>
      </w:r>
      <w:r w:rsidRPr="00D73212">
        <w:rPr>
          <w:rtl/>
        </w:rPr>
        <w:t xml:space="preserve"> </w:t>
      </w:r>
      <w:r w:rsidRPr="00D73212">
        <w:rPr>
          <w:rFonts w:hint="cs"/>
          <w:rtl/>
        </w:rPr>
        <w:t>ביום</w:t>
      </w:r>
    </w:p>
    <w:p w14:paraId="0104E191" w14:textId="4244BE54" w:rsidR="00274940" w:rsidRPr="004539CD" w:rsidRDefault="00274940" w:rsidP="00274940">
      <w:pPr>
        <w:pStyle w:val="Hesber"/>
        <w:rPr>
          <w:rtl/>
        </w:rPr>
      </w:pPr>
      <w:r>
        <w:rPr>
          <w:rFonts w:hint="cs"/>
          <w:rtl/>
        </w:rPr>
        <w:t>כ' בחשוון</w:t>
      </w:r>
      <w:r w:rsidRPr="00D73212">
        <w:rPr>
          <w:rtl/>
        </w:rPr>
        <w:t xml:space="preserve"> </w:t>
      </w:r>
      <w:proofErr w:type="spellStart"/>
      <w:r>
        <w:rPr>
          <w:rFonts w:hint="cs"/>
          <w:rtl/>
        </w:rPr>
        <w:t>התש"ף</w:t>
      </w:r>
      <w:proofErr w:type="spellEnd"/>
      <w:r>
        <w:rPr>
          <w:rFonts w:hint="cs"/>
          <w:rtl/>
        </w:rPr>
        <w:t xml:space="preserve"> </w:t>
      </w:r>
      <w:r w:rsidRPr="00D73212">
        <w:rPr>
          <w:rtl/>
        </w:rPr>
        <w:t>–</w:t>
      </w:r>
      <w:r>
        <w:rPr>
          <w:rFonts w:hint="cs"/>
          <w:rtl/>
        </w:rPr>
        <w:t xml:space="preserve"> 18.11</w:t>
      </w:r>
      <w:r w:rsidRPr="00D73212">
        <w:rPr>
          <w:rtl/>
        </w:rPr>
        <w:t>.</w:t>
      </w:r>
      <w:r>
        <w:rPr>
          <w:rFonts w:hint="cs"/>
          <w:rtl/>
        </w:rPr>
        <w:t xml:space="preserve">19  </w:t>
      </w:r>
    </w:p>
    <w:sectPr w:rsidR="00274940" w:rsidRPr="004539CD" w:rsidSect="004539CD">
      <w:footerReference w:type="even" r:id="rId11"/>
      <w:footerReference w:type="default" r:id="rId12"/>
      <w:pgSz w:w="11907" w:h="16840" w:code="9"/>
      <w:pgMar w:top="1701" w:right="1134" w:bottom="1417" w:left="1134" w:header="680" w:footer="680" w:gutter="0"/>
      <w:cols w:space="720"/>
      <w:noEndnote/>
      <w:titlePg/>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93F47" w14:textId="77777777" w:rsidR="00E3153D" w:rsidRDefault="00E3153D">
      <w:r>
        <w:separator/>
      </w:r>
    </w:p>
  </w:endnote>
  <w:endnote w:type="continuationSeparator" w:id="0">
    <w:p w14:paraId="7DE01AB8" w14:textId="77777777" w:rsidR="00E3153D" w:rsidRDefault="00E3153D">
      <w:r>
        <w:continuationSeparator/>
      </w:r>
    </w:p>
  </w:endnote>
  <w:endnote w:type="continuationNotice" w:id="1">
    <w:p w14:paraId="2BB35B52" w14:textId="77777777" w:rsidR="00E3153D" w:rsidRDefault="00E315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C24B23">
      <w:rPr>
        <w:rStyle w:val="ab"/>
        <w:noProof/>
        <w:rtl/>
      </w:rPr>
      <w:t>4</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6CB10" w14:textId="77777777" w:rsidR="00E3153D" w:rsidRDefault="00E3153D" w:rsidP="004539CD">
      <w:pPr>
        <w:ind w:left="0"/>
      </w:pPr>
      <w:r>
        <w:separator/>
      </w:r>
    </w:p>
  </w:footnote>
  <w:footnote w:type="continuationSeparator" w:id="0">
    <w:p w14:paraId="1961F6F9" w14:textId="77777777" w:rsidR="00E3153D" w:rsidRDefault="00E3153D">
      <w:r>
        <w:continuationSeparator/>
      </w:r>
    </w:p>
  </w:footnote>
  <w:footnote w:type="continuationNotice" w:id="1">
    <w:p w14:paraId="328F886C" w14:textId="77777777" w:rsidR="00E3153D" w:rsidRDefault="00E3153D"/>
  </w:footnote>
  <w:footnote w:id="2">
    <w:p w14:paraId="7915CEDF" w14:textId="77777777" w:rsidR="004539CD" w:rsidRDefault="004539CD">
      <w:pPr>
        <w:pStyle w:val="a4"/>
      </w:pPr>
      <w:r>
        <w:rPr>
          <w:rStyle w:val="a6"/>
        </w:rPr>
        <w:footnoteRef/>
      </w:r>
      <w:r>
        <w:rPr>
          <w:rtl/>
        </w:rPr>
        <w:t xml:space="preserve"> </w:t>
      </w:r>
      <w:r>
        <w:rPr>
          <w:rFonts w:hint="cs"/>
          <w:rtl/>
        </w:rPr>
        <w:t xml:space="preserve">ס"ח </w:t>
      </w:r>
      <w:proofErr w:type="spellStart"/>
      <w:r>
        <w:rPr>
          <w:rFonts w:hint="cs"/>
          <w:rtl/>
        </w:rPr>
        <w:t>התשכ"ט</w:t>
      </w:r>
      <w:proofErr w:type="spellEnd"/>
      <w:r>
        <w:rPr>
          <w:rFonts w:hint="cs"/>
          <w:rtl/>
        </w:rPr>
        <w:t>, עמ'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6"/>
  </w:num>
  <w:num w:numId="15">
    <w:abstractNumId w:val="13"/>
  </w:num>
  <w:num w:numId="16">
    <w:abstractNumId w:val="13"/>
    <w:lvlOverride w:ilvl="0">
      <w:startOverride w:val="1"/>
    </w:lvlOverride>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1648D"/>
    <w:rsid w:val="0002103D"/>
    <w:rsid w:val="00035941"/>
    <w:rsid w:val="0005556D"/>
    <w:rsid w:val="00063A3E"/>
    <w:rsid w:val="00072CAC"/>
    <w:rsid w:val="0007681A"/>
    <w:rsid w:val="000A542E"/>
    <w:rsid w:val="000E1C8A"/>
    <w:rsid w:val="00102B6B"/>
    <w:rsid w:val="001052D4"/>
    <w:rsid w:val="0010644B"/>
    <w:rsid w:val="001207F8"/>
    <w:rsid w:val="00121924"/>
    <w:rsid w:val="001279A8"/>
    <w:rsid w:val="0014195F"/>
    <w:rsid w:val="00152609"/>
    <w:rsid w:val="00153E1B"/>
    <w:rsid w:val="00192DFA"/>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4940"/>
    <w:rsid w:val="0027600C"/>
    <w:rsid w:val="00286D0D"/>
    <w:rsid w:val="00292712"/>
    <w:rsid w:val="002A487D"/>
    <w:rsid w:val="002C2E29"/>
    <w:rsid w:val="002C3041"/>
    <w:rsid w:val="002D1EE3"/>
    <w:rsid w:val="002F1D80"/>
    <w:rsid w:val="003232A2"/>
    <w:rsid w:val="00325C14"/>
    <w:rsid w:val="0036422C"/>
    <w:rsid w:val="003710F6"/>
    <w:rsid w:val="00374746"/>
    <w:rsid w:val="00386E88"/>
    <w:rsid w:val="00395ABF"/>
    <w:rsid w:val="00396585"/>
    <w:rsid w:val="003C45B0"/>
    <w:rsid w:val="003D6E38"/>
    <w:rsid w:val="003D74A0"/>
    <w:rsid w:val="004033D8"/>
    <w:rsid w:val="004073F0"/>
    <w:rsid w:val="00412A7D"/>
    <w:rsid w:val="00416B4D"/>
    <w:rsid w:val="00417CFC"/>
    <w:rsid w:val="00431455"/>
    <w:rsid w:val="004539CD"/>
    <w:rsid w:val="004A06DC"/>
    <w:rsid w:val="004B24ED"/>
    <w:rsid w:val="004B6625"/>
    <w:rsid w:val="004D2D82"/>
    <w:rsid w:val="004D3876"/>
    <w:rsid w:val="004E4552"/>
    <w:rsid w:val="004E6CDF"/>
    <w:rsid w:val="0055294A"/>
    <w:rsid w:val="00553C9D"/>
    <w:rsid w:val="00562A66"/>
    <w:rsid w:val="005B064E"/>
    <w:rsid w:val="005D51AE"/>
    <w:rsid w:val="005D663D"/>
    <w:rsid w:val="00626749"/>
    <w:rsid w:val="0062674B"/>
    <w:rsid w:val="006363B2"/>
    <w:rsid w:val="00644940"/>
    <w:rsid w:val="006818A9"/>
    <w:rsid w:val="006A2D81"/>
    <w:rsid w:val="006C1D0D"/>
    <w:rsid w:val="006D0D9D"/>
    <w:rsid w:val="0070601E"/>
    <w:rsid w:val="00712C72"/>
    <w:rsid w:val="00735FE9"/>
    <w:rsid w:val="0075791C"/>
    <w:rsid w:val="00763CAA"/>
    <w:rsid w:val="00765F66"/>
    <w:rsid w:val="0078664F"/>
    <w:rsid w:val="007A27CE"/>
    <w:rsid w:val="007A59DD"/>
    <w:rsid w:val="007C3FA6"/>
    <w:rsid w:val="007D585A"/>
    <w:rsid w:val="007D5A12"/>
    <w:rsid w:val="007E59F9"/>
    <w:rsid w:val="00810BCD"/>
    <w:rsid w:val="00812C98"/>
    <w:rsid w:val="00814D92"/>
    <w:rsid w:val="008216D1"/>
    <w:rsid w:val="0083181D"/>
    <w:rsid w:val="00843EB2"/>
    <w:rsid w:val="00865572"/>
    <w:rsid w:val="00874BBC"/>
    <w:rsid w:val="00892135"/>
    <w:rsid w:val="00895449"/>
    <w:rsid w:val="00897879"/>
    <w:rsid w:val="008A009F"/>
    <w:rsid w:val="008A6870"/>
    <w:rsid w:val="008C2DDC"/>
    <w:rsid w:val="008C7516"/>
    <w:rsid w:val="008E11CF"/>
    <w:rsid w:val="008E6EC7"/>
    <w:rsid w:val="008F0D63"/>
    <w:rsid w:val="008F1308"/>
    <w:rsid w:val="008F1A66"/>
    <w:rsid w:val="008F2C35"/>
    <w:rsid w:val="008F6665"/>
    <w:rsid w:val="00904591"/>
    <w:rsid w:val="00905E5F"/>
    <w:rsid w:val="0091204F"/>
    <w:rsid w:val="009203DB"/>
    <w:rsid w:val="00923CD4"/>
    <w:rsid w:val="00930EFE"/>
    <w:rsid w:val="00943386"/>
    <w:rsid w:val="009456B6"/>
    <w:rsid w:val="00954B17"/>
    <w:rsid w:val="00957589"/>
    <w:rsid w:val="00966D06"/>
    <w:rsid w:val="00982412"/>
    <w:rsid w:val="00983A8D"/>
    <w:rsid w:val="009A0DB8"/>
    <w:rsid w:val="009A308D"/>
    <w:rsid w:val="009A7257"/>
    <w:rsid w:val="009D6E0A"/>
    <w:rsid w:val="009E1E33"/>
    <w:rsid w:val="00A14672"/>
    <w:rsid w:val="00A26BD6"/>
    <w:rsid w:val="00A443CF"/>
    <w:rsid w:val="00A45C2C"/>
    <w:rsid w:val="00A6611D"/>
    <w:rsid w:val="00A82CB7"/>
    <w:rsid w:val="00A942C1"/>
    <w:rsid w:val="00AA2F03"/>
    <w:rsid w:val="00AB61A4"/>
    <w:rsid w:val="00AC36F7"/>
    <w:rsid w:val="00AC63A4"/>
    <w:rsid w:val="00AD239E"/>
    <w:rsid w:val="00B10265"/>
    <w:rsid w:val="00B16A99"/>
    <w:rsid w:val="00B21211"/>
    <w:rsid w:val="00B35784"/>
    <w:rsid w:val="00B733A7"/>
    <w:rsid w:val="00B75C91"/>
    <w:rsid w:val="00B975AD"/>
    <w:rsid w:val="00BA4BA1"/>
    <w:rsid w:val="00BC45FB"/>
    <w:rsid w:val="00BF148D"/>
    <w:rsid w:val="00C23B1A"/>
    <w:rsid w:val="00C24B23"/>
    <w:rsid w:val="00C310EB"/>
    <w:rsid w:val="00C643E5"/>
    <w:rsid w:val="00C9176A"/>
    <w:rsid w:val="00CF1AA2"/>
    <w:rsid w:val="00D142D3"/>
    <w:rsid w:val="00D17774"/>
    <w:rsid w:val="00D63620"/>
    <w:rsid w:val="00D8410D"/>
    <w:rsid w:val="00D867D7"/>
    <w:rsid w:val="00DB7060"/>
    <w:rsid w:val="00DE3153"/>
    <w:rsid w:val="00E06736"/>
    <w:rsid w:val="00E13C27"/>
    <w:rsid w:val="00E3153D"/>
    <w:rsid w:val="00E33BBD"/>
    <w:rsid w:val="00E374F2"/>
    <w:rsid w:val="00E45103"/>
    <w:rsid w:val="00E55A60"/>
    <w:rsid w:val="00E56494"/>
    <w:rsid w:val="00E62778"/>
    <w:rsid w:val="00E635A2"/>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4763445A-35F9-4A2E-B8D1-8690C648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CD"/>
    <w:pPr>
      <w:widowControl w:val="0"/>
      <w:bidi/>
      <w:spacing w:line="360" w:lineRule="auto"/>
      <w:ind w:left="340"/>
      <w:contextualSpacing/>
      <w:jc w:val="both"/>
    </w:pPr>
    <w:rPr>
      <w:rFonts w:ascii="David" w:eastAsiaTheme="minorHAnsi" w:hAnsi="David" w:cs="David"/>
      <w:sz w:val="24"/>
      <w:szCs w:val="24"/>
    </w:rPr>
  </w:style>
  <w:style w:type="paragraph" w:styleId="1">
    <w:name w:val="heading 1"/>
    <w:basedOn w:val="a"/>
    <w:next w:val="a"/>
    <w:link w:val="10"/>
    <w:uiPriority w:val="9"/>
    <w:qFormat/>
    <w:rsid w:val="004539CD"/>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4539CD"/>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4539CD"/>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4539CD"/>
    <w:pPr>
      <w:numPr>
        <w:numId w:val="18"/>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4539CD"/>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4539CD"/>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4539CD"/>
    <w:rPr>
      <w:sz w:val="36"/>
      <w:szCs w:val="52"/>
    </w:rPr>
  </w:style>
  <w:style w:type="paragraph" w:customStyle="1" w:styleId="Cover3-Haknesset">
    <w:name w:val="Cover 3-Haknesset"/>
    <w:basedOn w:val="Cover1-Reshumot"/>
    <w:rsid w:val="004539CD"/>
    <w:rPr>
      <w:b/>
      <w:bCs/>
      <w:spacing w:val="60"/>
    </w:rPr>
  </w:style>
  <w:style w:type="paragraph" w:customStyle="1" w:styleId="Cover4-Date">
    <w:name w:val="Cover 4-Date"/>
    <w:basedOn w:val="a"/>
    <w:rsid w:val="004539CD"/>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4539CD"/>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4539CD"/>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4539CD"/>
    <w:pPr>
      <w:spacing w:before="120" w:after="120"/>
    </w:pPr>
    <w:rPr>
      <w:color w:val="FF0000"/>
      <w:w w:val="80"/>
    </w:rPr>
  </w:style>
  <w:style w:type="paragraph" w:styleId="a3">
    <w:name w:val="endnote text"/>
    <w:basedOn w:val="a"/>
    <w:semiHidden/>
    <w:rsid w:val="004539CD"/>
    <w:pPr>
      <w:ind w:left="227" w:hanging="227"/>
    </w:pPr>
    <w:rPr>
      <w:sz w:val="14"/>
      <w:szCs w:val="22"/>
    </w:rPr>
  </w:style>
  <w:style w:type="paragraph" w:customStyle="1" w:styleId="TableText">
    <w:name w:val="Table Text"/>
    <w:basedOn w:val="a"/>
    <w:rsid w:val="004539CD"/>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4539CD"/>
    <w:pPr>
      <w:outlineLvl w:val="2"/>
    </w:pPr>
  </w:style>
  <w:style w:type="paragraph" w:customStyle="1" w:styleId="TableBlock">
    <w:name w:val="Table Block"/>
    <w:basedOn w:val="TableText"/>
    <w:rsid w:val="004539CD"/>
    <w:pPr>
      <w:jc w:val="both"/>
    </w:pPr>
  </w:style>
  <w:style w:type="paragraph" w:customStyle="1" w:styleId="TableHead">
    <w:name w:val="Table Head"/>
    <w:basedOn w:val="TableText"/>
    <w:rsid w:val="004539CD"/>
    <w:pPr>
      <w:jc w:val="center"/>
      <w:outlineLvl w:val="1"/>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4539CD"/>
    <w:pPr>
      <w:outlineLvl w:val="9"/>
    </w:pPr>
  </w:style>
  <w:style w:type="paragraph" w:customStyle="1" w:styleId="Hesber">
    <w:name w:val="Hesber"/>
    <w:basedOn w:val="a"/>
    <w:rsid w:val="004539CD"/>
    <w:pPr>
      <w:snapToGrid w:val="0"/>
      <w:ind w:left="0" w:firstLine="340"/>
    </w:pPr>
    <w:rPr>
      <w:rFonts w:ascii="Arial" w:eastAsia="Arial Unicode MS" w:hAnsi="Arial"/>
      <w:snapToGrid w:val="0"/>
      <w:sz w:val="20"/>
      <w:szCs w:val="26"/>
    </w:rPr>
  </w:style>
  <w:style w:type="paragraph" w:styleId="a4">
    <w:name w:val="footnote text"/>
    <w:basedOn w:val="a"/>
    <w:link w:val="a5"/>
    <w:autoRedefine/>
    <w:semiHidden/>
    <w:rsid w:val="004539CD"/>
    <w:pPr>
      <w:snapToGrid w:val="0"/>
      <w:spacing w:line="240" w:lineRule="auto"/>
      <w:ind w:left="0"/>
      <w:jc w:val="left"/>
    </w:pPr>
    <w:rPr>
      <w:rFonts w:ascii="Arial" w:eastAsia="Arial Unicode MS" w:hAnsi="Arial"/>
      <w:snapToGrid w:val="0"/>
      <w:sz w:val="14"/>
      <w:szCs w:val="20"/>
    </w:rPr>
  </w:style>
  <w:style w:type="character" w:styleId="a6">
    <w:name w:val="footnote reference"/>
    <w:aliases w:val="Footnote Reference"/>
    <w:basedOn w:val="a0"/>
    <w:semiHidden/>
    <w:rsid w:val="004539CD"/>
    <w:rPr>
      <w:vertAlign w:val="superscript"/>
    </w:rPr>
  </w:style>
  <w:style w:type="paragraph" w:customStyle="1" w:styleId="HesberHeading">
    <w:name w:val="Hesber Heading"/>
    <w:basedOn w:val="Hesber"/>
    <w:rsid w:val="004539CD"/>
    <w:pPr>
      <w:tabs>
        <w:tab w:val="left" w:pos="624"/>
        <w:tab w:val="left" w:pos="1247"/>
      </w:tabs>
    </w:pPr>
    <w:rPr>
      <w:b/>
      <w:bCs/>
    </w:rPr>
  </w:style>
  <w:style w:type="paragraph" w:customStyle="1" w:styleId="HesberWriters">
    <w:name w:val="Hesber Writers"/>
    <w:basedOn w:val="Hesber"/>
    <w:rsid w:val="004539CD"/>
    <w:pPr>
      <w:spacing w:before="120" w:after="120"/>
      <w:ind w:left="1418"/>
      <w:jc w:val="right"/>
    </w:pPr>
    <w:rPr>
      <w:b/>
      <w:bCs/>
    </w:rPr>
  </w:style>
  <w:style w:type="paragraph" w:customStyle="1" w:styleId="Hesber1st">
    <w:name w:val="Hesber 1st"/>
    <w:basedOn w:val="Hesber"/>
    <w:rsid w:val="004539CD"/>
    <w:pPr>
      <w:tabs>
        <w:tab w:val="left" w:pos="680"/>
        <w:tab w:val="left" w:pos="1020"/>
      </w:tabs>
      <w:ind w:firstLine="0"/>
    </w:pPr>
  </w:style>
  <w:style w:type="character" w:styleId="a7">
    <w:name w:val="endnote reference"/>
    <w:basedOn w:val="a0"/>
    <w:semiHidden/>
    <w:rsid w:val="004539CD"/>
    <w:rPr>
      <w:vertAlign w:val="superscript"/>
    </w:rPr>
  </w:style>
  <w:style w:type="paragraph" w:customStyle="1" w:styleId="TableBlockOutdent">
    <w:name w:val="Table BlockOutdent"/>
    <w:basedOn w:val="TableBlock"/>
    <w:rsid w:val="004539CD"/>
    <w:pPr>
      <w:ind w:left="624" w:hanging="624"/>
    </w:pPr>
  </w:style>
  <w:style w:type="paragraph" w:styleId="a8">
    <w:name w:val="header"/>
    <w:basedOn w:val="a"/>
    <w:rsid w:val="004539CD"/>
    <w:pPr>
      <w:tabs>
        <w:tab w:val="center" w:pos="4153"/>
        <w:tab w:val="right" w:pos="8306"/>
      </w:tabs>
    </w:pPr>
  </w:style>
  <w:style w:type="paragraph" w:styleId="a9">
    <w:name w:val="footer"/>
    <w:basedOn w:val="a"/>
    <w:rsid w:val="004539CD"/>
    <w:pPr>
      <w:tabs>
        <w:tab w:val="center" w:pos="4153"/>
        <w:tab w:val="right" w:pos="8306"/>
      </w:tabs>
    </w:pPr>
  </w:style>
  <w:style w:type="paragraph" w:customStyle="1" w:styleId="HeadDivreiHesber">
    <w:name w:val="Head DivreiHesber"/>
    <w:basedOn w:val="a"/>
    <w:rsid w:val="004539CD"/>
    <w:pPr>
      <w:snapToGrid w:val="0"/>
      <w:spacing w:before="360" w:after="120"/>
      <w:jc w:val="center"/>
      <w:outlineLvl w:val="1"/>
    </w:pPr>
    <w:rPr>
      <w:rFonts w:ascii="Arial" w:eastAsia="Arial Unicode MS" w:hAnsi="Arial"/>
      <w:b/>
      <w:snapToGrid w:val="0"/>
      <w:spacing w:val="40"/>
      <w:sz w:val="20"/>
      <w:szCs w:val="26"/>
    </w:rPr>
  </w:style>
  <w:style w:type="paragraph" w:customStyle="1" w:styleId="Ragil">
    <w:name w:val="Ragil"/>
    <w:basedOn w:val="a"/>
    <w:rsid w:val="004539CD"/>
    <w:pPr>
      <w:snapToGrid w:val="0"/>
      <w:jc w:val="left"/>
    </w:pPr>
    <w:rPr>
      <w:rFonts w:ascii="Arial" w:eastAsia="Arial Unicode MS" w:hAnsi="Arial"/>
      <w:snapToGrid w:val="0"/>
      <w:sz w:val="20"/>
      <w:szCs w:val="26"/>
    </w:rPr>
  </w:style>
  <w:style w:type="paragraph" w:styleId="aa">
    <w:name w:val="Title"/>
    <w:basedOn w:val="a"/>
    <w:qFormat/>
    <w:rsid w:val="00943386"/>
    <w:pPr>
      <w:jc w:val="center"/>
    </w:pPr>
    <w:rPr>
      <w:b/>
      <w:bCs/>
      <w:sz w:val="28"/>
      <w:szCs w:val="28"/>
      <w:u w:val="single"/>
    </w:rPr>
  </w:style>
  <w:style w:type="character" w:styleId="ab">
    <w:name w:val="page number"/>
    <w:basedOn w:val="a0"/>
    <w:rsid w:val="004539CD"/>
  </w:style>
  <w:style w:type="paragraph" w:customStyle="1" w:styleId="David">
    <w:name w:val="רגיל + (עברית ושפות אחרות) David"/>
    <w:aliases w:val="‏13 נק',מודגש,אחרי:  6 נק'"/>
    <w:basedOn w:val="a"/>
    <w:rsid w:val="001207F8"/>
    <w:pPr>
      <w:jc w:val="left"/>
    </w:pPr>
    <w:rPr>
      <w:sz w:val="26"/>
      <w:szCs w:val="26"/>
    </w:rPr>
  </w:style>
  <w:style w:type="paragraph" w:styleId="ac">
    <w:name w:val="Balloon Text"/>
    <w:basedOn w:val="a"/>
    <w:link w:val="ad"/>
    <w:semiHidden/>
    <w:unhideWhenUsed/>
    <w:rsid w:val="00325C14"/>
    <w:pPr>
      <w:spacing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5D663D"/>
    <w:rPr>
      <w:rFonts w:ascii="Arial" w:eastAsia="Arial Unicode MS" w:hAnsi="Arial" w:cs="David"/>
      <w:snapToGrid w:val="0"/>
      <w:sz w:val="14"/>
    </w:rPr>
  </w:style>
  <w:style w:type="character" w:customStyle="1" w:styleId="10">
    <w:name w:val="כותרת 1 תו"/>
    <w:basedOn w:val="a0"/>
    <w:link w:val="1"/>
    <w:uiPriority w:val="9"/>
    <w:rsid w:val="004539CD"/>
    <w:rPr>
      <w:rFonts w:asciiTheme="majorHAnsi" w:eastAsiaTheme="majorEastAsia" w:hAnsiTheme="majorHAnsi" w:cs="David"/>
      <w:bCs/>
      <w:sz w:val="32"/>
      <w:szCs w:val="36"/>
    </w:rPr>
  </w:style>
  <w:style w:type="character" w:customStyle="1" w:styleId="20">
    <w:name w:val="כותרת 2 תו"/>
    <w:basedOn w:val="a0"/>
    <w:link w:val="2"/>
    <w:rsid w:val="004539CD"/>
    <w:rPr>
      <w:rFonts w:asciiTheme="majorHAnsi" w:eastAsiaTheme="majorEastAsia" w:hAnsiTheme="majorHAnsi" w:cs="David"/>
      <w:bCs/>
      <w:sz w:val="26"/>
      <w:szCs w:val="36"/>
      <w:u w:val="single"/>
    </w:rPr>
  </w:style>
  <w:style w:type="character" w:customStyle="1" w:styleId="30">
    <w:name w:val="כותרת 3 תו"/>
    <w:basedOn w:val="a0"/>
    <w:link w:val="3"/>
    <w:rsid w:val="004539CD"/>
    <w:rPr>
      <w:rFonts w:asciiTheme="majorHAnsi" w:eastAsiaTheme="majorEastAsia" w:hAnsiTheme="majorHAnsi" w:cs="David"/>
      <w:sz w:val="24"/>
      <w:szCs w:val="28"/>
      <w:u w:val="double"/>
    </w:rPr>
  </w:style>
  <w:style w:type="character" w:customStyle="1" w:styleId="40">
    <w:name w:val="כותרת 4 תו"/>
    <w:basedOn w:val="a0"/>
    <w:link w:val="4"/>
    <w:uiPriority w:val="9"/>
    <w:rsid w:val="004539CD"/>
    <w:rPr>
      <w:rFonts w:ascii="David" w:eastAsiaTheme="minorHAnsi" w:hAnsi="David" w:cs="David"/>
      <w:b/>
      <w:bCs/>
      <w:color w:val="000000" w:themeColor="text1"/>
      <w:sz w:val="24"/>
      <w:szCs w:val="28"/>
    </w:rPr>
  </w:style>
  <w:style w:type="character" w:customStyle="1" w:styleId="50">
    <w:name w:val="כותרת 5 תו"/>
    <w:basedOn w:val="a0"/>
    <w:link w:val="5"/>
    <w:uiPriority w:val="9"/>
    <w:rsid w:val="004539CD"/>
    <w:rPr>
      <w:rFonts w:ascii="David" w:eastAsiaTheme="minorHAnsi" w:hAnsi="David" w:cs="David"/>
      <w:color w:val="000000" w:themeColor="text1"/>
      <w:sz w:val="24"/>
      <w:szCs w:val="24"/>
    </w:rPr>
  </w:style>
  <w:style w:type="paragraph" w:styleId="ae">
    <w:name w:val="TOC Heading"/>
    <w:basedOn w:val="1"/>
    <w:next w:val="a"/>
    <w:uiPriority w:val="39"/>
    <w:unhideWhenUsed/>
    <w:qFormat/>
    <w:rsid w:val="004539CD"/>
    <w:pPr>
      <w:widowControl/>
      <w:spacing w:before="120" w:after="120"/>
      <w:outlineLvl w:val="9"/>
    </w:pPr>
    <w:rPr>
      <w:rtl/>
      <w:cs/>
    </w:rPr>
  </w:style>
  <w:style w:type="paragraph" w:styleId="TOC1">
    <w:name w:val="toc 1"/>
    <w:basedOn w:val="a"/>
    <w:next w:val="a"/>
    <w:autoRedefine/>
    <w:uiPriority w:val="39"/>
    <w:unhideWhenUsed/>
    <w:rsid w:val="004539CD"/>
    <w:pPr>
      <w:tabs>
        <w:tab w:val="right" w:leader="dot" w:pos="9629"/>
      </w:tabs>
      <w:spacing w:after="100"/>
    </w:pPr>
    <w:rPr>
      <w:bCs/>
      <w:szCs w:val="22"/>
    </w:rPr>
  </w:style>
  <w:style w:type="paragraph" w:styleId="TOC2">
    <w:name w:val="toc 2"/>
    <w:basedOn w:val="a"/>
    <w:next w:val="a"/>
    <w:uiPriority w:val="39"/>
    <w:unhideWhenUsed/>
    <w:rsid w:val="004539CD"/>
    <w:pPr>
      <w:tabs>
        <w:tab w:val="right" w:leader="dot" w:pos="9628"/>
      </w:tabs>
      <w:spacing w:after="100"/>
    </w:pPr>
    <w:rPr>
      <w:szCs w:val="22"/>
    </w:rPr>
  </w:style>
  <w:style w:type="character" w:styleId="Hyperlink">
    <w:name w:val="Hyperlink"/>
    <w:basedOn w:val="a0"/>
    <w:uiPriority w:val="99"/>
    <w:unhideWhenUsed/>
    <w:rsid w:val="004539CD"/>
    <w:rPr>
      <w:color w:val="0000FF" w:themeColor="hyperlink"/>
      <w:u w:val="single"/>
    </w:rPr>
  </w:style>
  <w:style w:type="paragraph" w:styleId="TOC3">
    <w:name w:val="toc 3"/>
    <w:basedOn w:val="a"/>
    <w:next w:val="a"/>
    <w:uiPriority w:val="39"/>
    <w:unhideWhenUsed/>
    <w:rsid w:val="004539CD"/>
    <w:pPr>
      <w:numPr>
        <w:numId w:val="21"/>
      </w:numPr>
      <w:tabs>
        <w:tab w:val="right" w:leader="dot" w:pos="9629"/>
      </w:tabs>
      <w:spacing w:after="100"/>
      <w:ind w:left="811" w:hanging="357"/>
    </w:pPr>
    <w:rPr>
      <w:szCs w:val="22"/>
    </w:rPr>
  </w:style>
  <w:style w:type="paragraph" w:styleId="TOC4">
    <w:name w:val="toc 4"/>
    <w:basedOn w:val="a"/>
    <w:next w:val="a"/>
    <w:autoRedefine/>
    <w:unhideWhenUsed/>
    <w:qFormat/>
    <w:rsid w:val="004539CD"/>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4539CD"/>
    <w:pPr>
      <w:tabs>
        <w:tab w:val="right" w:leader="dot" w:pos="9628"/>
      </w:tabs>
      <w:spacing w:after="100"/>
      <w:ind w:left="567"/>
    </w:pPr>
    <w:rPr>
      <w:szCs w:val="22"/>
    </w:rPr>
  </w:style>
  <w:style w:type="paragraph" w:styleId="TOC6">
    <w:name w:val="toc 6"/>
    <w:basedOn w:val="a"/>
    <w:next w:val="a"/>
    <w:autoRedefine/>
    <w:semiHidden/>
    <w:unhideWhenUsed/>
    <w:rsid w:val="004539CD"/>
    <w:pPr>
      <w:spacing w:after="100"/>
      <w:ind w:left="850"/>
    </w:pPr>
  </w:style>
  <w:style w:type="paragraph" w:styleId="TOC7">
    <w:name w:val="toc 7"/>
    <w:basedOn w:val="a"/>
    <w:next w:val="a"/>
    <w:autoRedefine/>
    <w:semiHidden/>
    <w:unhideWhenUsed/>
    <w:rsid w:val="004539CD"/>
    <w:pPr>
      <w:spacing w:after="100"/>
      <w:ind w:left="1020"/>
    </w:pPr>
  </w:style>
  <w:style w:type="paragraph" w:styleId="TOC8">
    <w:name w:val="toc 8"/>
    <w:basedOn w:val="a"/>
    <w:next w:val="a"/>
    <w:autoRedefine/>
    <w:semiHidden/>
    <w:unhideWhenUsed/>
    <w:rsid w:val="004539CD"/>
    <w:pPr>
      <w:spacing w:after="100"/>
      <w:ind w:left="1190"/>
    </w:pPr>
  </w:style>
  <w:style w:type="paragraph" w:styleId="TOC9">
    <w:name w:val="toc 9"/>
    <w:basedOn w:val="a"/>
    <w:next w:val="a"/>
    <w:autoRedefine/>
    <w:semiHidden/>
    <w:unhideWhenUsed/>
    <w:rsid w:val="004539CD"/>
    <w:pPr>
      <w:spacing w:after="100"/>
      <w:ind w:left="1360"/>
    </w:pPr>
  </w:style>
  <w:style w:type="paragraph" w:customStyle="1" w:styleId="TableHead2">
    <w:name w:val="Table Head2"/>
    <w:basedOn w:val="TableHead"/>
    <w:qFormat/>
    <w:rsid w:val="004539CD"/>
    <w:pPr>
      <w:outlineLvl w:val="9"/>
    </w:pPr>
  </w:style>
  <w:style w:type="paragraph" w:customStyle="1" w:styleId="TableSideHeading2">
    <w:name w:val="Table SideHeading2"/>
    <w:basedOn w:val="TableSideHeading"/>
    <w:autoRedefine/>
    <w:qFormat/>
    <w:rsid w:val="004539CD"/>
    <w:pPr>
      <w:keepLines w:val="0"/>
      <w:outlineLvl w:val="9"/>
    </w:pPr>
  </w:style>
  <w:style w:type="paragraph" w:customStyle="1" w:styleId="0">
    <w:name w:val="סגנון שורה ראשונה:  0  ס''מ"/>
    <w:basedOn w:val="2"/>
    <w:rsid w:val="004539CD"/>
    <w:rPr>
      <w:rFonts w:eastAsia="Times New Roman"/>
    </w:rPr>
  </w:style>
  <w:style w:type="paragraph" w:styleId="af">
    <w:name w:val="List Paragraph"/>
    <w:basedOn w:val="a"/>
    <w:uiPriority w:val="34"/>
    <w:qFormat/>
    <w:rsid w:val="004539CD"/>
    <w:pPr>
      <w:widowControl/>
      <w:spacing w:line="259" w:lineRule="auto"/>
    </w:pPr>
    <w:rPr>
      <w:rFonts w:asciiTheme="minorHAnsi" w:hAnsiTheme="minorHAnsi"/>
      <w:sz w:val="22"/>
    </w:rPr>
  </w:style>
  <w:style w:type="table" w:styleId="af0">
    <w:name w:val="Table Grid"/>
    <w:basedOn w:val="a1"/>
    <w:rsid w:val="0045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4539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4539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4539CD"/>
    <w:pPr>
      <w:jc w:val="center"/>
    </w:pPr>
    <w:rPr>
      <w:rFonts w:cstheme="minorBidi"/>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4539CD"/>
    <w:tblPr/>
    <w:tblStylePr w:type="firstCol">
      <w:pPr>
        <w:keepNext w:val="0"/>
        <w:keepLines/>
        <w:pageBreakBefore w:val="0"/>
        <w:widowControl w:val="0"/>
        <w:suppressLineNumbers w:val="0"/>
        <w:suppressAutoHyphens w:val="0"/>
        <w:wordWrap/>
      </w:pPr>
    </w:tblStylePr>
  </w:style>
  <w:style w:type="character" w:styleId="af2">
    <w:name w:val="annotation reference"/>
    <w:basedOn w:val="a0"/>
    <w:semiHidden/>
    <w:unhideWhenUsed/>
    <w:rsid w:val="008F1A66"/>
    <w:rPr>
      <w:sz w:val="16"/>
      <w:szCs w:val="16"/>
    </w:rPr>
  </w:style>
  <w:style w:type="paragraph" w:styleId="af3">
    <w:name w:val="annotation text"/>
    <w:basedOn w:val="a"/>
    <w:link w:val="af4"/>
    <w:semiHidden/>
    <w:unhideWhenUsed/>
    <w:rsid w:val="008F1A66"/>
    <w:pPr>
      <w:spacing w:line="240" w:lineRule="auto"/>
    </w:pPr>
    <w:rPr>
      <w:sz w:val="20"/>
      <w:szCs w:val="20"/>
    </w:rPr>
  </w:style>
  <w:style w:type="character" w:customStyle="1" w:styleId="af4">
    <w:name w:val="טקסט הערה תו"/>
    <w:basedOn w:val="a0"/>
    <w:link w:val="af3"/>
    <w:semiHidden/>
    <w:rsid w:val="008F1A66"/>
    <w:rPr>
      <w:rFonts w:ascii="David" w:eastAsiaTheme="minorHAnsi" w:hAnsi="David" w:cs="David"/>
    </w:rPr>
  </w:style>
  <w:style w:type="paragraph" w:styleId="af5">
    <w:name w:val="annotation subject"/>
    <w:basedOn w:val="af3"/>
    <w:next w:val="af3"/>
    <w:link w:val="af6"/>
    <w:semiHidden/>
    <w:unhideWhenUsed/>
    <w:rsid w:val="008F1A66"/>
    <w:rPr>
      <w:b/>
      <w:bCs/>
    </w:rPr>
  </w:style>
  <w:style w:type="character" w:customStyle="1" w:styleId="af6">
    <w:name w:val="נושא הערה תו"/>
    <w:basedOn w:val="af4"/>
    <w:link w:val="af5"/>
    <w:semiHidden/>
    <w:rsid w:val="008F1A66"/>
    <w:rPr>
      <w:rFonts w:ascii="David" w:eastAsiaTheme="minorHAnsi" w:hAnsi="David" w:cs="David"/>
      <w:b/>
      <w:bCs/>
    </w:rPr>
  </w:style>
  <w:style w:type="character" w:customStyle="1" w:styleId="default">
    <w:name w:val="default"/>
    <w:rsid w:val="00374746"/>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3A50981437779E428456932B2A638612" ma:contentTypeVersion="" ma:contentTypeDescription="צור מסמך חדש." ma:contentTypeScope="" ma:versionID="2df30a1b375d11bf545563b3a0868245">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31DD-085C-4364-951E-B3E688C3A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5F2E15-4D37-4987-8152-A9961A5A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4999</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סופיה קובזנצב</cp:lastModifiedBy>
  <cp:revision>2</cp:revision>
  <cp:lastPrinted>2019-11-18T14:50:00Z</cp:lastPrinted>
  <dcterms:created xsi:type="dcterms:W3CDTF">2019-11-18T14:51:00Z</dcterms:created>
  <dcterms:modified xsi:type="dcterms:W3CDTF">2019-11-18T14:51:00Z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0x0101003A50981437779E428456932B2A638612</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2081435</vt:r8>
  </property>
</Properties>
</file>